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753A53">
      <w:pPr>
        <w:spacing w:line="360" w:lineRule="auto"/>
        <w:jc w:val="center"/>
        <w:rPr>
          <w:rFonts w:hint="eastAsia" w:ascii="微软雅黑" w:hAnsi="微软雅黑" w:eastAsia="微软雅黑" w:cs="微软雅黑"/>
        </w:rPr>
      </w:pPr>
    </w:p>
    <w:p w14:paraId="4F4E1C48">
      <w:pPr>
        <w:spacing w:line="360" w:lineRule="auto"/>
        <w:jc w:val="center"/>
        <w:rPr>
          <w:rFonts w:hint="eastAsia" w:ascii="微软雅黑" w:hAnsi="微软雅黑" w:eastAsia="微软雅黑" w:cs="微软雅黑"/>
        </w:rPr>
      </w:pPr>
    </w:p>
    <w:p w14:paraId="14D6E344">
      <w:pPr>
        <w:spacing w:line="360" w:lineRule="auto"/>
        <w:jc w:val="center"/>
        <w:rPr>
          <w:rFonts w:hint="eastAsia" w:ascii="微软雅黑" w:hAnsi="微软雅黑" w:eastAsia="微软雅黑" w:cs="微软雅黑"/>
        </w:rPr>
      </w:pPr>
    </w:p>
    <w:p w14:paraId="46E5EFB9">
      <w:pPr>
        <w:spacing w:line="360" w:lineRule="auto"/>
        <w:jc w:val="center"/>
        <w:rPr>
          <w:rFonts w:hint="eastAsia" w:ascii="微软雅黑" w:hAnsi="微软雅黑" w:eastAsia="微软雅黑" w:cs="微软雅黑"/>
        </w:rPr>
      </w:pPr>
    </w:p>
    <w:p w14:paraId="0C45CC38">
      <w:pPr>
        <w:spacing w:line="360" w:lineRule="auto"/>
        <w:jc w:val="center"/>
        <w:rPr>
          <w:rFonts w:hint="eastAsia" w:ascii="微软雅黑" w:hAnsi="微软雅黑" w:eastAsia="微软雅黑" w:cs="微软雅黑"/>
        </w:rPr>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INCLUDEPICTURE "https://www.chinasafety.ac.cn/skin/casst-zhCN/images/logo-black.png" \* MERGEFORMATINET </w:instrText>
      </w:r>
      <w:r>
        <w:rPr>
          <w:rFonts w:hint="eastAsia" w:ascii="微软雅黑" w:hAnsi="微软雅黑" w:eastAsia="微软雅黑" w:cs="微软雅黑"/>
        </w:rPr>
        <w:fldChar w:fldCharType="separate"/>
      </w:r>
      <w:r>
        <w:rPr>
          <w:rFonts w:hint="eastAsia" w:ascii="微软雅黑" w:hAnsi="微软雅黑" w:eastAsia="微软雅黑" w:cs="微软雅黑"/>
        </w:rPr>
        <w:drawing>
          <wp:inline distT="0" distB="0" distL="0" distR="0">
            <wp:extent cx="4100195" cy="678815"/>
            <wp:effectExtent l="0" t="0" r="1905" b="0"/>
            <wp:docPr id="2679632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963293"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458965" cy="738688"/>
                    </a:xfrm>
                    <a:prstGeom prst="rect">
                      <a:avLst/>
                    </a:prstGeom>
                    <a:noFill/>
                    <a:ln>
                      <a:noFill/>
                    </a:ln>
                  </pic:spPr>
                </pic:pic>
              </a:graphicData>
            </a:graphic>
          </wp:inline>
        </w:drawing>
      </w:r>
      <w:r>
        <w:rPr>
          <w:rFonts w:hint="eastAsia" w:ascii="微软雅黑" w:hAnsi="微软雅黑" w:eastAsia="微软雅黑" w:cs="微软雅黑"/>
        </w:rPr>
        <w:fldChar w:fldCharType="end"/>
      </w:r>
    </w:p>
    <w:p w14:paraId="55A3B27E">
      <w:pPr>
        <w:spacing w:line="360" w:lineRule="auto"/>
        <w:jc w:val="center"/>
        <w:rPr>
          <w:rFonts w:hint="eastAsia" w:ascii="微软雅黑" w:hAnsi="微软雅黑" w:eastAsia="微软雅黑" w:cs="微软雅黑"/>
          <w:b/>
          <w:bCs/>
          <w:sz w:val="44"/>
          <w:szCs w:val="48"/>
          <w:lang w:val="en-US" w:eastAsia="zh-CN"/>
        </w:rPr>
      </w:pPr>
      <w:r>
        <w:rPr>
          <w:rFonts w:hint="eastAsia" w:ascii="微软雅黑" w:hAnsi="微软雅黑" w:eastAsia="微软雅黑" w:cs="微软雅黑"/>
          <w:b/>
          <w:bCs/>
          <w:sz w:val="44"/>
          <w:szCs w:val="48"/>
        </w:rPr>
        <w:t>实验室安全智能监测与</w:t>
      </w:r>
      <w:r>
        <w:rPr>
          <w:rFonts w:hint="eastAsia" w:ascii="微软雅黑" w:hAnsi="微软雅黑" w:eastAsia="微软雅黑" w:cs="微软雅黑"/>
          <w:b/>
          <w:bCs/>
          <w:sz w:val="44"/>
          <w:szCs w:val="48"/>
          <w:lang w:val="en-US" w:eastAsia="zh-CN"/>
        </w:rPr>
        <w:t>管控中心</w:t>
      </w:r>
    </w:p>
    <w:p w14:paraId="76E11AF2">
      <w:pPr>
        <w:spacing w:line="360" w:lineRule="auto"/>
        <w:jc w:val="center"/>
        <w:rPr>
          <w:rFonts w:hint="eastAsia" w:ascii="微软雅黑" w:hAnsi="微软雅黑" w:eastAsia="微软雅黑" w:cs="微软雅黑"/>
          <w:sz w:val="40"/>
          <w:szCs w:val="44"/>
        </w:rPr>
      </w:pPr>
      <w:r>
        <w:rPr>
          <w:rFonts w:hint="eastAsia" w:ascii="微软雅黑" w:hAnsi="微软雅黑" w:eastAsia="微软雅黑" w:cs="微软雅黑"/>
          <w:sz w:val="40"/>
          <w:szCs w:val="44"/>
        </w:rPr>
        <w:t>数据可视化</w:t>
      </w:r>
    </w:p>
    <w:p w14:paraId="0C5789FF">
      <w:pPr>
        <w:spacing w:line="360" w:lineRule="auto"/>
        <w:jc w:val="center"/>
        <w:rPr>
          <w:rFonts w:hint="eastAsia" w:ascii="微软雅黑" w:hAnsi="微软雅黑" w:eastAsia="微软雅黑" w:cs="微软雅黑"/>
          <w:sz w:val="32"/>
          <w:szCs w:val="36"/>
        </w:rPr>
      </w:pPr>
    </w:p>
    <w:p w14:paraId="687C4B70">
      <w:pPr>
        <w:spacing w:line="360" w:lineRule="auto"/>
        <w:jc w:val="center"/>
        <w:rPr>
          <w:rFonts w:hint="eastAsia" w:ascii="微软雅黑" w:hAnsi="微软雅黑" w:eastAsia="微软雅黑" w:cs="微软雅黑"/>
          <w:sz w:val="32"/>
          <w:szCs w:val="36"/>
        </w:rPr>
      </w:pPr>
    </w:p>
    <w:p w14:paraId="0E7C4D74">
      <w:pPr>
        <w:spacing w:line="360" w:lineRule="auto"/>
        <w:jc w:val="center"/>
        <w:rPr>
          <w:rFonts w:hint="eastAsia" w:ascii="微软雅黑" w:hAnsi="微软雅黑" w:eastAsia="微软雅黑" w:cs="微软雅黑"/>
          <w:sz w:val="32"/>
          <w:szCs w:val="36"/>
        </w:rPr>
      </w:pPr>
    </w:p>
    <w:p w14:paraId="43983FB4">
      <w:pPr>
        <w:spacing w:line="360" w:lineRule="auto"/>
        <w:jc w:val="center"/>
        <w:rPr>
          <w:rFonts w:hint="eastAsia" w:ascii="微软雅黑" w:hAnsi="微软雅黑" w:eastAsia="微软雅黑" w:cs="微软雅黑"/>
          <w:sz w:val="32"/>
          <w:szCs w:val="36"/>
        </w:rPr>
      </w:pPr>
    </w:p>
    <w:p w14:paraId="792A384B">
      <w:pPr>
        <w:spacing w:line="360" w:lineRule="auto"/>
        <w:jc w:val="center"/>
        <w:rPr>
          <w:rFonts w:hint="eastAsia" w:ascii="微软雅黑" w:hAnsi="微软雅黑" w:eastAsia="微软雅黑" w:cs="微软雅黑"/>
          <w:sz w:val="32"/>
          <w:szCs w:val="36"/>
        </w:rPr>
      </w:pPr>
    </w:p>
    <w:p w14:paraId="734439EC">
      <w:pPr>
        <w:spacing w:line="360" w:lineRule="auto"/>
        <w:jc w:val="both"/>
        <w:rPr>
          <w:rFonts w:hint="eastAsia" w:ascii="微软雅黑" w:hAnsi="微软雅黑" w:eastAsia="微软雅黑" w:cs="微软雅黑"/>
          <w:sz w:val="32"/>
          <w:szCs w:val="36"/>
        </w:rPr>
      </w:pPr>
    </w:p>
    <w:p w14:paraId="23967AA5">
      <w:pPr>
        <w:spacing w:line="360" w:lineRule="auto"/>
        <w:jc w:val="center"/>
        <w:rPr>
          <w:rFonts w:hint="eastAsia" w:ascii="微软雅黑" w:hAnsi="微软雅黑" w:eastAsia="微软雅黑" w:cs="微软雅黑"/>
          <w:sz w:val="32"/>
          <w:szCs w:val="36"/>
        </w:rPr>
      </w:pPr>
      <w:r>
        <w:rPr>
          <w:rFonts w:hint="eastAsia" w:ascii="微软雅黑" w:hAnsi="微软雅黑" w:eastAsia="微软雅黑" w:cs="微软雅黑"/>
          <w:sz w:val="32"/>
          <w:szCs w:val="36"/>
        </w:rPr>
        <w:t>江苏忠江智能科技有限公司</w:t>
      </w:r>
    </w:p>
    <w:p w14:paraId="2E773E68">
      <w:pPr>
        <w:spacing w:line="360" w:lineRule="auto"/>
        <w:jc w:val="center"/>
        <w:rPr>
          <w:rFonts w:hint="eastAsia" w:ascii="微软雅黑" w:hAnsi="微软雅黑" w:eastAsia="微软雅黑" w:cs="微软雅黑"/>
          <w:sz w:val="32"/>
          <w:szCs w:val="36"/>
        </w:rPr>
      </w:pPr>
      <w:r>
        <w:rPr>
          <w:rFonts w:hint="eastAsia" w:ascii="微软雅黑" w:hAnsi="微软雅黑" w:eastAsia="微软雅黑" w:cs="微软雅黑"/>
          <w:sz w:val="32"/>
          <w:szCs w:val="36"/>
        </w:rPr>
        <w:t>2026年3月</w:t>
      </w:r>
      <w:r>
        <w:rPr>
          <w:rFonts w:hint="eastAsia" w:ascii="微软雅黑" w:hAnsi="微软雅黑" w:eastAsia="微软雅黑" w:cs="微软雅黑"/>
          <w:sz w:val="32"/>
          <w:szCs w:val="36"/>
          <w:lang w:val="en-US" w:eastAsia="zh-CN"/>
        </w:rPr>
        <w:t>24</w:t>
      </w:r>
      <w:r>
        <w:rPr>
          <w:rFonts w:hint="eastAsia" w:ascii="微软雅黑" w:hAnsi="微软雅黑" w:eastAsia="微软雅黑" w:cs="微软雅黑"/>
          <w:sz w:val="32"/>
          <w:szCs w:val="36"/>
        </w:rPr>
        <w:t>日</w:t>
      </w:r>
    </w:p>
    <w:sdt>
      <w:sdtPr>
        <w:rPr>
          <w:rFonts w:hint="eastAsia" w:ascii="微软雅黑" w:hAnsi="微软雅黑" w:eastAsia="微软雅黑" w:cs="微软雅黑"/>
          <w:b w:val="0"/>
          <w:bCs w:val="0"/>
          <w:color w:val="auto"/>
          <w:kern w:val="2"/>
          <w:sz w:val="22"/>
          <w:szCs w:val="24"/>
          <w:lang w:val="zh-CN"/>
          <w14:ligatures w14:val="standardContextual"/>
        </w:rPr>
        <w:id w:val="1089963704"/>
        <w:docPartObj>
          <w:docPartGallery w:val="Table of Contents"/>
          <w:docPartUnique/>
        </w:docPartObj>
      </w:sdtPr>
      <w:sdtEndPr>
        <w:rPr>
          <w:rFonts w:hint="eastAsia" w:ascii="微软雅黑" w:hAnsi="微软雅黑" w:eastAsia="微软雅黑" w:cs="微软雅黑"/>
          <w:b w:val="0"/>
          <w:bCs w:val="0"/>
          <w:color w:val="auto"/>
          <w:kern w:val="2"/>
          <w:sz w:val="22"/>
          <w:szCs w:val="24"/>
          <w:lang w:val="en-US"/>
          <w14:ligatures w14:val="standardContextual"/>
        </w:rPr>
      </w:sdtEndPr>
      <w:sdtContent>
        <w:p w14:paraId="3AB89194">
          <w:pPr>
            <w:pStyle w:val="47"/>
            <w:jc w:val="center"/>
            <w:rPr>
              <w:rFonts w:hint="eastAsia" w:ascii="微软雅黑" w:hAnsi="微软雅黑" w:eastAsia="微软雅黑" w:cs="微软雅黑"/>
            </w:rPr>
          </w:pPr>
          <w:r>
            <w:rPr>
              <w:rFonts w:hint="eastAsia" w:ascii="微软雅黑" w:hAnsi="微软雅黑" w:eastAsia="微软雅黑" w:cs="微软雅黑"/>
              <w:lang w:val="zh-CN"/>
            </w:rPr>
            <w:t>目录</w:t>
          </w:r>
        </w:p>
        <w:p w14:paraId="7347B62F">
          <w:pPr>
            <w:pStyle w:val="16"/>
            <w:tabs>
              <w:tab w:val="right" w:leader="dot" w:pos="8306"/>
            </w:tabs>
          </w:pPr>
          <w:r>
            <w:rPr>
              <w:rFonts w:hint="eastAsia" w:ascii="微软雅黑" w:hAnsi="微软雅黑" w:eastAsia="微软雅黑" w:cs="微软雅黑"/>
              <w:b w:val="0"/>
              <w:bCs w:val="0"/>
              <w:u w:val="none"/>
            </w:rPr>
            <w:fldChar w:fldCharType="begin"/>
          </w:r>
          <w:r>
            <w:rPr>
              <w:rFonts w:hint="eastAsia" w:ascii="微软雅黑" w:hAnsi="微软雅黑" w:eastAsia="微软雅黑" w:cs="微软雅黑"/>
              <w:u w:val="none"/>
            </w:rPr>
            <w:instrText xml:space="preserve">TOC \o "1-3" \h \z \u</w:instrText>
          </w:r>
          <w:r>
            <w:rPr>
              <w:rFonts w:hint="eastAsia" w:ascii="微软雅黑" w:hAnsi="微软雅黑" w:eastAsia="微软雅黑" w:cs="微软雅黑"/>
              <w:b w:val="0"/>
              <w:bCs w:val="0"/>
              <w:u w:val="none"/>
            </w:rPr>
            <w:fldChar w:fldCharType="separate"/>
          </w:r>
          <w:r>
            <w:rPr>
              <w:rFonts w:hint="eastAsia" w:ascii="微软雅黑" w:hAnsi="微软雅黑" w:eastAsia="微软雅黑" w:cs="微软雅黑"/>
              <w:bCs w:val="0"/>
              <w:u w:val="none"/>
            </w:rPr>
            <w:fldChar w:fldCharType="begin"/>
          </w:r>
          <w:r>
            <w:rPr>
              <w:rFonts w:hint="eastAsia" w:ascii="微软雅黑" w:hAnsi="微软雅黑" w:eastAsia="微软雅黑" w:cs="微软雅黑"/>
              <w:bCs w:val="0"/>
            </w:rPr>
            <w:instrText xml:space="preserve"> HYPERLINK \l _Toc25482 </w:instrText>
          </w:r>
          <w:r>
            <w:rPr>
              <w:rFonts w:hint="eastAsia" w:ascii="微软雅黑" w:hAnsi="微软雅黑" w:eastAsia="微软雅黑" w:cs="微软雅黑"/>
              <w:bCs w:val="0"/>
            </w:rPr>
            <w:fldChar w:fldCharType="separate"/>
          </w:r>
          <w:r>
            <w:rPr>
              <w:rFonts w:hint="eastAsia" w:ascii="微软雅黑" w:hAnsi="微软雅黑" w:eastAsia="微软雅黑" w:cs="微软雅黑"/>
              <w:bCs/>
              <w:szCs w:val="32"/>
            </w:rPr>
            <w:t>1 概述</w:t>
          </w:r>
          <w:r>
            <w:tab/>
          </w:r>
          <w:r>
            <w:fldChar w:fldCharType="begin"/>
          </w:r>
          <w:r>
            <w:instrText xml:space="preserve"> PAGEREF _Toc25482 \h </w:instrText>
          </w:r>
          <w:r>
            <w:fldChar w:fldCharType="separate"/>
          </w:r>
          <w:r>
            <w:t>3</w:t>
          </w:r>
          <w:r>
            <w:fldChar w:fldCharType="end"/>
          </w:r>
          <w:r>
            <w:rPr>
              <w:rFonts w:hint="eastAsia" w:ascii="微软雅黑" w:hAnsi="微软雅黑" w:eastAsia="微软雅黑" w:cs="微软雅黑"/>
              <w:bCs w:val="0"/>
              <w:u w:val="none"/>
            </w:rPr>
            <w:fldChar w:fldCharType="end"/>
          </w:r>
        </w:p>
        <w:p w14:paraId="4BEA88BE">
          <w:pPr>
            <w:pStyle w:val="16"/>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_Toc28005 </w:instrText>
          </w:r>
          <w:r>
            <w:rPr>
              <w:rFonts w:hint="eastAsia" w:ascii="微软雅黑" w:hAnsi="微软雅黑" w:eastAsia="微软雅黑" w:cs="微软雅黑"/>
              <w:bCs/>
            </w:rPr>
            <w:fldChar w:fldCharType="separate"/>
          </w:r>
          <w:r>
            <w:rPr>
              <w:rFonts w:hint="eastAsia" w:ascii="微软雅黑" w:hAnsi="微软雅黑" w:eastAsia="微软雅黑" w:cs="微软雅黑"/>
              <w:bCs/>
              <w:szCs w:val="32"/>
            </w:rPr>
            <w:t>2 数据可视化平台整体视觉</w:t>
          </w:r>
          <w:r>
            <w:tab/>
          </w:r>
          <w:r>
            <w:fldChar w:fldCharType="begin"/>
          </w:r>
          <w:r>
            <w:instrText xml:space="preserve"> PAGEREF _Toc28005 \h </w:instrText>
          </w:r>
          <w:r>
            <w:fldChar w:fldCharType="separate"/>
          </w:r>
          <w:r>
            <w:t>3</w:t>
          </w:r>
          <w:r>
            <w:fldChar w:fldCharType="end"/>
          </w:r>
          <w:r>
            <w:rPr>
              <w:rFonts w:hint="eastAsia" w:ascii="微软雅黑" w:hAnsi="微软雅黑" w:eastAsia="微软雅黑" w:cs="微软雅黑"/>
              <w:bCs/>
            </w:rPr>
            <w:fldChar w:fldCharType="end"/>
          </w:r>
        </w:p>
        <w:p w14:paraId="58D4D68E">
          <w:pPr>
            <w:pStyle w:val="16"/>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_Toc21808 </w:instrText>
          </w:r>
          <w:r>
            <w:rPr>
              <w:rFonts w:hint="eastAsia" w:ascii="微软雅黑" w:hAnsi="微软雅黑" w:eastAsia="微软雅黑" w:cs="微软雅黑"/>
              <w:bCs/>
            </w:rPr>
            <w:fldChar w:fldCharType="separate"/>
          </w:r>
          <w:r>
            <w:rPr>
              <w:rFonts w:hint="eastAsia" w:ascii="微软雅黑" w:hAnsi="微软雅黑" w:eastAsia="微软雅黑" w:cs="微软雅黑"/>
              <w:bCs/>
              <w:szCs w:val="32"/>
            </w:rPr>
            <w:t>3 各统计模块功能及数据来源</w:t>
          </w:r>
          <w:r>
            <w:tab/>
          </w:r>
          <w:r>
            <w:fldChar w:fldCharType="begin"/>
          </w:r>
          <w:r>
            <w:instrText xml:space="preserve"> PAGEREF _Toc21808 \h </w:instrText>
          </w:r>
          <w:r>
            <w:fldChar w:fldCharType="separate"/>
          </w:r>
          <w:r>
            <w:t>4</w:t>
          </w:r>
          <w:r>
            <w:fldChar w:fldCharType="end"/>
          </w:r>
          <w:r>
            <w:rPr>
              <w:rFonts w:hint="eastAsia" w:ascii="微软雅黑" w:hAnsi="微软雅黑" w:eastAsia="微软雅黑" w:cs="微软雅黑"/>
              <w:bCs/>
            </w:rPr>
            <w:fldChar w:fldCharType="end"/>
          </w:r>
        </w:p>
        <w:p w14:paraId="2D65DD15">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_Toc24169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3.1 实验室实时数据</w:t>
          </w:r>
          <w:r>
            <w:tab/>
          </w:r>
          <w:r>
            <w:fldChar w:fldCharType="begin"/>
          </w:r>
          <w:r>
            <w:instrText xml:space="preserve"> PAGEREF _Toc24169 \h </w:instrText>
          </w:r>
          <w:r>
            <w:fldChar w:fldCharType="separate"/>
          </w:r>
          <w:r>
            <w:t>4</w:t>
          </w:r>
          <w:r>
            <w:fldChar w:fldCharType="end"/>
          </w:r>
          <w:r>
            <w:rPr>
              <w:rFonts w:hint="eastAsia" w:ascii="微软雅黑" w:hAnsi="微软雅黑" w:eastAsia="微软雅黑" w:cs="微软雅黑"/>
              <w:bCs/>
            </w:rPr>
            <w:fldChar w:fldCharType="end"/>
          </w:r>
        </w:p>
        <w:p w14:paraId="699333F4">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_Toc20192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3.2 实验室</w:t>
          </w:r>
          <w:r>
            <w:rPr>
              <w:rFonts w:hint="eastAsia" w:ascii="微软雅黑" w:hAnsi="微软雅黑" w:eastAsia="微软雅黑" w:cs="微软雅黑"/>
              <w:szCs w:val="28"/>
              <w:lang w:val="en-US" w:eastAsia="zh-CN"/>
            </w:rPr>
            <w:t>安全分级</w:t>
          </w:r>
          <w:r>
            <w:rPr>
              <w:rFonts w:hint="eastAsia" w:ascii="微软雅黑" w:hAnsi="微软雅黑" w:eastAsia="微软雅黑" w:cs="微软雅黑"/>
              <w:szCs w:val="28"/>
            </w:rPr>
            <w:t>统计</w:t>
          </w:r>
          <w:r>
            <w:tab/>
          </w:r>
          <w:r>
            <w:fldChar w:fldCharType="begin"/>
          </w:r>
          <w:r>
            <w:instrText xml:space="preserve"> PAGEREF _Toc20192 \h </w:instrText>
          </w:r>
          <w:r>
            <w:fldChar w:fldCharType="separate"/>
          </w:r>
          <w:r>
            <w:t>5</w:t>
          </w:r>
          <w:r>
            <w:fldChar w:fldCharType="end"/>
          </w:r>
          <w:r>
            <w:rPr>
              <w:rFonts w:hint="eastAsia" w:ascii="微软雅黑" w:hAnsi="微软雅黑" w:eastAsia="微软雅黑" w:cs="微软雅黑"/>
              <w:bCs/>
            </w:rPr>
            <w:fldChar w:fldCharType="end"/>
          </w:r>
        </w:p>
        <w:p w14:paraId="79C1DA31">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_Toc12106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3.3 实验室进入人数统计及走势</w:t>
          </w:r>
          <w:r>
            <w:tab/>
          </w:r>
          <w:r>
            <w:fldChar w:fldCharType="begin"/>
          </w:r>
          <w:r>
            <w:instrText xml:space="preserve"> PAGEREF _Toc12106 \h </w:instrText>
          </w:r>
          <w:r>
            <w:fldChar w:fldCharType="separate"/>
          </w:r>
          <w:r>
            <w:t>5</w:t>
          </w:r>
          <w:r>
            <w:fldChar w:fldCharType="end"/>
          </w:r>
          <w:r>
            <w:rPr>
              <w:rFonts w:hint="eastAsia" w:ascii="微软雅黑" w:hAnsi="微软雅黑" w:eastAsia="微软雅黑" w:cs="微软雅黑"/>
              <w:bCs/>
            </w:rPr>
            <w:fldChar w:fldCharType="end"/>
          </w:r>
        </w:p>
        <w:p w14:paraId="1FB4F3FF">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_Toc13835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4</w:t>
          </w:r>
          <w:r>
            <w:rPr>
              <w:rFonts w:hint="eastAsia" w:ascii="微软雅黑" w:hAnsi="微软雅黑" w:eastAsia="微软雅黑" w:cs="微软雅黑"/>
              <w:szCs w:val="28"/>
            </w:rPr>
            <w:t xml:space="preserve"> 智能环境感知设备统计</w:t>
          </w:r>
          <w:r>
            <w:tab/>
          </w:r>
          <w:r>
            <w:fldChar w:fldCharType="begin"/>
          </w:r>
          <w:r>
            <w:instrText xml:space="preserve"> PAGEREF _Toc13835 \h </w:instrText>
          </w:r>
          <w:r>
            <w:fldChar w:fldCharType="separate"/>
          </w:r>
          <w:r>
            <w:t>6</w:t>
          </w:r>
          <w:r>
            <w:fldChar w:fldCharType="end"/>
          </w:r>
          <w:r>
            <w:rPr>
              <w:rFonts w:hint="eastAsia" w:ascii="微软雅黑" w:hAnsi="微软雅黑" w:eastAsia="微软雅黑" w:cs="微软雅黑"/>
              <w:bCs/>
            </w:rPr>
            <w:fldChar w:fldCharType="end"/>
          </w:r>
        </w:p>
        <w:p w14:paraId="6F1EBF5B">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_Toc12669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5</w:t>
          </w:r>
          <w:r>
            <w:rPr>
              <w:rFonts w:hint="eastAsia" w:ascii="微软雅黑" w:hAnsi="微软雅黑" w:eastAsia="微软雅黑" w:cs="微软雅黑"/>
              <w:szCs w:val="28"/>
            </w:rPr>
            <w:t xml:space="preserve"> 实验室设备分类及使用统计</w:t>
          </w:r>
          <w:r>
            <w:tab/>
          </w:r>
          <w:r>
            <w:fldChar w:fldCharType="begin"/>
          </w:r>
          <w:r>
            <w:instrText xml:space="preserve"> PAGEREF _Toc12669 \h </w:instrText>
          </w:r>
          <w:r>
            <w:fldChar w:fldCharType="separate"/>
          </w:r>
          <w:r>
            <w:t>7</w:t>
          </w:r>
          <w:r>
            <w:fldChar w:fldCharType="end"/>
          </w:r>
          <w:r>
            <w:rPr>
              <w:rFonts w:hint="eastAsia" w:ascii="微软雅黑" w:hAnsi="微软雅黑" w:eastAsia="微软雅黑" w:cs="微软雅黑"/>
              <w:bCs/>
            </w:rPr>
            <w:fldChar w:fldCharType="end"/>
          </w:r>
        </w:p>
        <w:p w14:paraId="38558133">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_Toc14582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6</w:t>
          </w:r>
          <w:r>
            <w:rPr>
              <w:rFonts w:hint="eastAsia" w:ascii="微软雅黑" w:hAnsi="微软雅黑" w:eastAsia="微软雅黑" w:cs="微软雅黑"/>
              <w:szCs w:val="28"/>
            </w:rPr>
            <w:t xml:space="preserve"> </w:t>
          </w:r>
          <w:r>
            <w:rPr>
              <w:rFonts w:hint="eastAsia" w:ascii="微软雅黑" w:hAnsi="微软雅黑" w:eastAsia="微软雅黑" w:cs="微软雅黑"/>
              <w:szCs w:val="28"/>
              <w:lang w:val="en-US" w:eastAsia="zh-CN"/>
            </w:rPr>
            <w:t>化学品库存动态统计</w:t>
          </w:r>
          <w:r>
            <w:tab/>
          </w:r>
          <w:r>
            <w:fldChar w:fldCharType="begin"/>
          </w:r>
          <w:r>
            <w:instrText xml:space="preserve"> PAGEREF _Toc14582 \h </w:instrText>
          </w:r>
          <w:r>
            <w:fldChar w:fldCharType="separate"/>
          </w:r>
          <w:r>
            <w:t>8</w:t>
          </w:r>
          <w:r>
            <w:fldChar w:fldCharType="end"/>
          </w:r>
          <w:r>
            <w:rPr>
              <w:rFonts w:hint="eastAsia" w:ascii="微软雅黑" w:hAnsi="微软雅黑" w:eastAsia="微软雅黑" w:cs="微软雅黑"/>
              <w:bCs/>
            </w:rPr>
            <w:fldChar w:fldCharType="end"/>
          </w:r>
        </w:p>
        <w:p w14:paraId="1E3B9936">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_Toc31309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7</w:t>
          </w:r>
          <w:r>
            <w:rPr>
              <w:rFonts w:hint="eastAsia" w:ascii="微软雅黑" w:hAnsi="微软雅黑" w:eastAsia="微软雅黑" w:cs="微软雅黑"/>
              <w:szCs w:val="28"/>
            </w:rPr>
            <w:t xml:space="preserve"> 实验室实时监控</w:t>
          </w:r>
          <w:r>
            <w:tab/>
          </w:r>
          <w:r>
            <w:fldChar w:fldCharType="begin"/>
          </w:r>
          <w:r>
            <w:instrText xml:space="preserve"> PAGEREF _Toc31309 \h </w:instrText>
          </w:r>
          <w:r>
            <w:fldChar w:fldCharType="separate"/>
          </w:r>
          <w:r>
            <w:t>9</w:t>
          </w:r>
          <w:r>
            <w:fldChar w:fldCharType="end"/>
          </w:r>
          <w:r>
            <w:rPr>
              <w:rFonts w:hint="eastAsia" w:ascii="微软雅黑" w:hAnsi="微软雅黑" w:eastAsia="微软雅黑" w:cs="微软雅黑"/>
              <w:bCs/>
            </w:rPr>
            <w:fldChar w:fldCharType="end"/>
          </w:r>
        </w:p>
        <w:p w14:paraId="1B8DA910">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_Toc8053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8</w:t>
          </w:r>
          <w:r>
            <w:rPr>
              <w:rFonts w:hint="eastAsia" w:ascii="微软雅黑" w:hAnsi="微软雅黑" w:eastAsia="微软雅黑" w:cs="微软雅黑"/>
              <w:szCs w:val="28"/>
            </w:rPr>
            <w:t xml:space="preserve"> 实验环境安全智能感知</w:t>
          </w:r>
          <w:r>
            <w:tab/>
          </w:r>
          <w:r>
            <w:fldChar w:fldCharType="begin"/>
          </w:r>
          <w:r>
            <w:instrText xml:space="preserve"> PAGEREF _Toc8053 \h </w:instrText>
          </w:r>
          <w:r>
            <w:fldChar w:fldCharType="separate"/>
          </w:r>
          <w:r>
            <w:t>11</w:t>
          </w:r>
          <w:r>
            <w:fldChar w:fldCharType="end"/>
          </w:r>
          <w:r>
            <w:rPr>
              <w:rFonts w:hint="eastAsia" w:ascii="微软雅黑" w:hAnsi="微软雅黑" w:eastAsia="微软雅黑" w:cs="微软雅黑"/>
              <w:bCs/>
            </w:rPr>
            <w:fldChar w:fldCharType="end"/>
          </w:r>
        </w:p>
        <w:p w14:paraId="2F1A6AD9">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_Toc25385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9</w:t>
          </w:r>
          <w:r>
            <w:rPr>
              <w:rFonts w:hint="eastAsia" w:ascii="微软雅黑" w:hAnsi="微软雅黑" w:eastAsia="微软雅黑" w:cs="微软雅黑"/>
              <w:szCs w:val="28"/>
            </w:rPr>
            <w:t xml:space="preserve"> 实验室实时风险预警</w:t>
          </w:r>
          <w:r>
            <w:tab/>
          </w:r>
          <w:r>
            <w:fldChar w:fldCharType="begin"/>
          </w:r>
          <w:r>
            <w:instrText xml:space="preserve"> PAGEREF _Toc25385 \h </w:instrText>
          </w:r>
          <w:r>
            <w:fldChar w:fldCharType="separate"/>
          </w:r>
          <w:r>
            <w:t>12</w:t>
          </w:r>
          <w:r>
            <w:fldChar w:fldCharType="end"/>
          </w:r>
          <w:r>
            <w:rPr>
              <w:rFonts w:hint="eastAsia" w:ascii="微软雅黑" w:hAnsi="微软雅黑" w:eastAsia="微软雅黑" w:cs="微软雅黑"/>
              <w:bCs/>
            </w:rPr>
            <w:fldChar w:fldCharType="end"/>
          </w:r>
        </w:p>
        <w:p w14:paraId="498DDAAD">
          <w:pPr>
            <w:pStyle w:val="20"/>
            <w:tabs>
              <w:tab w:val="right" w:leader="dot" w:pos="8306"/>
            </w:tabs>
          </w:pPr>
          <w:r>
            <w:rPr>
              <w:rFonts w:hint="eastAsia" w:ascii="微软雅黑" w:hAnsi="微软雅黑" w:eastAsia="微软雅黑" w:cs="微软雅黑"/>
              <w:bCs/>
            </w:rPr>
            <w:fldChar w:fldCharType="begin"/>
          </w:r>
          <w:r>
            <w:rPr>
              <w:rFonts w:hint="eastAsia" w:ascii="微软雅黑" w:hAnsi="微软雅黑" w:eastAsia="微软雅黑" w:cs="微软雅黑"/>
              <w:bCs/>
            </w:rPr>
            <w:instrText xml:space="preserve"> HYPERLINK \l _Toc29304 </w:instrText>
          </w:r>
          <w:r>
            <w:rPr>
              <w:rFonts w:hint="eastAsia" w:ascii="微软雅黑" w:hAnsi="微软雅黑" w:eastAsia="微软雅黑" w:cs="微软雅黑"/>
              <w:bCs/>
            </w:rPr>
            <w:fldChar w:fldCharType="separate"/>
          </w:r>
          <w:r>
            <w:rPr>
              <w:rFonts w:hint="eastAsia" w:ascii="微软雅黑" w:hAnsi="微软雅黑" w:eastAsia="微软雅黑" w:cs="微软雅黑"/>
              <w:szCs w:val="28"/>
            </w:rPr>
            <w:t>3.</w:t>
          </w:r>
          <w:r>
            <w:rPr>
              <w:rFonts w:hint="eastAsia" w:ascii="微软雅黑" w:hAnsi="微软雅黑" w:eastAsia="微软雅黑" w:cs="微软雅黑"/>
              <w:szCs w:val="28"/>
              <w:lang w:val="en-US" w:eastAsia="zh-CN"/>
            </w:rPr>
            <w:t>10</w:t>
          </w:r>
          <w:r>
            <w:rPr>
              <w:rFonts w:hint="eastAsia" w:ascii="微软雅黑" w:hAnsi="微软雅黑" w:eastAsia="微软雅黑" w:cs="微软雅黑"/>
              <w:szCs w:val="28"/>
            </w:rPr>
            <w:t xml:space="preserve"> 安全预警弹窗</w:t>
          </w:r>
          <w:r>
            <w:tab/>
          </w:r>
          <w:r>
            <w:fldChar w:fldCharType="begin"/>
          </w:r>
          <w:r>
            <w:instrText xml:space="preserve"> PAGEREF _Toc29304 \h </w:instrText>
          </w:r>
          <w:r>
            <w:fldChar w:fldCharType="separate"/>
          </w:r>
          <w:r>
            <w:t>12</w:t>
          </w:r>
          <w:r>
            <w:fldChar w:fldCharType="end"/>
          </w:r>
          <w:r>
            <w:rPr>
              <w:rFonts w:hint="eastAsia" w:ascii="微软雅黑" w:hAnsi="微软雅黑" w:eastAsia="微软雅黑" w:cs="微软雅黑"/>
              <w:bCs/>
            </w:rPr>
            <w:fldChar w:fldCharType="end"/>
          </w:r>
        </w:p>
        <w:p w14:paraId="199804E5">
          <w:pPr>
            <w:rPr>
              <w:rFonts w:hint="eastAsia" w:ascii="微软雅黑" w:hAnsi="微软雅黑" w:eastAsia="微软雅黑" w:cs="微软雅黑"/>
            </w:rPr>
          </w:pPr>
          <w:r>
            <w:rPr>
              <w:rFonts w:hint="eastAsia" w:ascii="微软雅黑" w:hAnsi="微软雅黑" w:eastAsia="微软雅黑" w:cs="微软雅黑"/>
              <w:bCs/>
            </w:rPr>
            <w:fldChar w:fldCharType="end"/>
          </w:r>
        </w:p>
      </w:sdtContent>
    </w:sdt>
    <w:p w14:paraId="295A2867">
      <w:pPr>
        <w:spacing w:line="360" w:lineRule="auto"/>
        <w:jc w:val="center"/>
        <w:rPr>
          <w:rFonts w:hint="eastAsia" w:ascii="微软雅黑" w:hAnsi="微软雅黑" w:eastAsia="微软雅黑" w:cs="微软雅黑"/>
          <w:sz w:val="32"/>
          <w:szCs w:val="36"/>
        </w:rPr>
      </w:pPr>
    </w:p>
    <w:p w14:paraId="00C604A2">
      <w:pPr>
        <w:spacing w:line="360" w:lineRule="auto"/>
        <w:jc w:val="center"/>
        <w:rPr>
          <w:rFonts w:hint="eastAsia" w:ascii="微软雅黑" w:hAnsi="微软雅黑" w:eastAsia="微软雅黑" w:cs="微软雅黑"/>
          <w:sz w:val="32"/>
          <w:szCs w:val="36"/>
        </w:rPr>
      </w:pPr>
    </w:p>
    <w:p w14:paraId="77BECA6D">
      <w:pPr>
        <w:spacing w:line="360" w:lineRule="auto"/>
        <w:jc w:val="center"/>
        <w:rPr>
          <w:rFonts w:hint="eastAsia" w:ascii="微软雅黑" w:hAnsi="微软雅黑" w:eastAsia="微软雅黑" w:cs="微软雅黑"/>
          <w:sz w:val="32"/>
          <w:szCs w:val="36"/>
        </w:rPr>
      </w:pPr>
    </w:p>
    <w:p w14:paraId="0F0DEF79">
      <w:pPr>
        <w:spacing w:line="360" w:lineRule="auto"/>
        <w:jc w:val="center"/>
        <w:rPr>
          <w:rFonts w:hint="eastAsia" w:ascii="微软雅黑" w:hAnsi="微软雅黑" w:eastAsia="微软雅黑" w:cs="微软雅黑"/>
          <w:sz w:val="32"/>
          <w:szCs w:val="36"/>
        </w:rPr>
      </w:pPr>
    </w:p>
    <w:p w14:paraId="4C57B360">
      <w:pPr>
        <w:pStyle w:val="2"/>
        <w:spacing w:line="360" w:lineRule="auto"/>
        <w:rPr>
          <w:rFonts w:hint="eastAsia" w:ascii="微软雅黑" w:hAnsi="微软雅黑" w:eastAsia="微软雅黑" w:cs="微软雅黑"/>
          <w:b/>
          <w:bCs/>
          <w:color w:val="000000" w:themeColor="text1"/>
          <w:sz w:val="28"/>
          <w:szCs w:val="32"/>
          <w14:textFill>
            <w14:solidFill>
              <w14:schemeClr w14:val="tx1"/>
            </w14:solidFill>
          </w14:textFill>
        </w:rPr>
      </w:pPr>
      <w:bookmarkStart w:id="0" w:name="_Toc25482"/>
      <w:r>
        <w:rPr>
          <w:rFonts w:hint="eastAsia" w:ascii="微软雅黑" w:hAnsi="微软雅黑" w:eastAsia="微软雅黑" w:cs="微软雅黑"/>
          <w:b/>
          <w:bCs/>
          <w:color w:val="000000" w:themeColor="text1"/>
          <w:sz w:val="28"/>
          <w:szCs w:val="32"/>
          <w14:textFill>
            <w14:solidFill>
              <w14:schemeClr w14:val="tx1"/>
            </w14:solidFill>
          </w14:textFill>
        </w:rPr>
        <w:t>1 概述</w:t>
      </w:r>
      <w:bookmarkEnd w:id="0"/>
    </w:p>
    <w:p w14:paraId="7A43F271">
      <w:pPr>
        <w:spacing w:line="360" w:lineRule="auto"/>
        <w:rPr>
          <w:rFonts w:hint="eastAsia" w:ascii="微软雅黑" w:hAnsi="微软雅黑" w:eastAsia="微软雅黑" w:cs="微软雅黑"/>
          <w:sz w:val="24"/>
          <w:szCs w:val="28"/>
        </w:rPr>
      </w:pPr>
      <w:r>
        <w:rPr>
          <w:rFonts w:hint="eastAsia" w:ascii="微软雅黑" w:hAnsi="微软雅黑" w:eastAsia="微软雅黑" w:cs="微软雅黑"/>
          <w:sz w:val="24"/>
          <w:szCs w:val="28"/>
        </w:rPr>
        <w:t>本文档旨在说明实验室安全智能监测与</w:t>
      </w:r>
      <w:r>
        <w:rPr>
          <w:rFonts w:hint="eastAsia" w:ascii="微软雅黑" w:hAnsi="微软雅黑" w:eastAsia="微软雅黑" w:cs="微软雅黑"/>
          <w:sz w:val="24"/>
          <w:szCs w:val="28"/>
          <w:lang w:val="en-US" w:eastAsia="zh-CN"/>
        </w:rPr>
        <w:t>管控中心</w:t>
      </w:r>
      <w:r>
        <w:rPr>
          <w:rFonts w:hint="eastAsia" w:ascii="微软雅黑" w:hAnsi="微软雅黑" w:eastAsia="微软雅黑" w:cs="微软雅黑"/>
          <w:sz w:val="24"/>
          <w:szCs w:val="28"/>
        </w:rPr>
        <w:t>Large screen数据可视</w:t>
      </w:r>
      <w:r>
        <w:rPr>
          <w:rStyle w:val="26"/>
          <w:rFonts w:ascii="Helvetica Neue" w:hAnsi="Helvetica Neue" w:eastAsia="Helvetica Neue" w:cs="Helvetica Neue"/>
          <w:b/>
          <w:bCs/>
          <w:i w:val="0"/>
          <w:iCs w:val="0"/>
          <w:caps w:val="0"/>
          <w:spacing w:val="0"/>
          <w:sz w:val="24"/>
          <w:szCs w:val="24"/>
          <w:shd w:val="clear" w:fill="FFFFFF"/>
        </w:rPr>
        <w:t>化</w:t>
      </w:r>
      <w:r>
        <w:rPr>
          <w:rFonts w:hint="eastAsia" w:ascii="微软雅黑" w:hAnsi="微软雅黑" w:eastAsia="微软雅黑" w:cs="微软雅黑"/>
          <w:sz w:val="24"/>
          <w:szCs w:val="28"/>
        </w:rPr>
        <w:t>平台</w:t>
      </w:r>
      <w:r>
        <w:rPr>
          <w:rFonts w:hint="eastAsia" w:ascii="微软雅黑" w:hAnsi="微软雅黑" w:eastAsia="微软雅黑" w:cs="微软雅黑"/>
          <w:sz w:val="24"/>
          <w:szCs w:val="28"/>
          <w:lang w:val="en-US" w:eastAsia="zh-CN"/>
        </w:rPr>
        <w:t>（安全大厦宽屏）</w:t>
      </w:r>
      <w:r>
        <w:rPr>
          <w:rFonts w:hint="eastAsia" w:ascii="微软雅黑" w:hAnsi="微软雅黑" w:eastAsia="微软雅黑" w:cs="微软雅黑"/>
          <w:sz w:val="24"/>
          <w:szCs w:val="28"/>
        </w:rPr>
        <w:t>功能及各模块报表释义。</w:t>
      </w:r>
      <w:bookmarkStart w:id="13" w:name="_GoBack"/>
      <w:bookmarkEnd w:id="13"/>
    </w:p>
    <w:p w14:paraId="34DD6DF3">
      <w:pPr>
        <w:spacing w:before="40" w:after="40"/>
        <w:ind w:left="0" w:firstLine="0"/>
        <w:rPr>
          <w:rFonts w:hint="eastAsia" w:ascii="微软雅黑" w:hAnsi="微软雅黑" w:eastAsia="微软雅黑" w:cs="微软雅黑"/>
        </w:rPr>
      </w:pPr>
      <w:r>
        <w:rPr>
          <w:rFonts w:hint="eastAsia" w:ascii="微软雅黑" w:hAnsi="微软雅黑" w:eastAsia="微软雅黑" w:cs="微软雅黑"/>
          <w:b w:val="0"/>
          <w:i w:val="0"/>
          <w:color w:val="1F2937"/>
          <w:sz w:val="21"/>
        </w:rPr>
        <w:t>布局示意如下：</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772"/>
        <w:gridCol w:w="3225"/>
        <w:gridCol w:w="1903"/>
      </w:tblGrid>
      <w:tr w14:paraId="662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shd w:val="clear" w:color="auto" w:fill="1E40AF"/>
          </w:tcPr>
          <w:p w14:paraId="199CB370">
            <w:pPr>
              <w:spacing w:after="0" w:line="240" w:lineRule="auto"/>
              <w:jc w:val="center"/>
              <w:rPr>
                <w:rFonts w:hint="eastAsia" w:ascii="微软雅黑" w:hAnsi="微软雅黑" w:eastAsia="微软雅黑" w:cs="微软雅黑"/>
              </w:rPr>
            </w:pPr>
            <w:r>
              <w:rPr>
                <w:rFonts w:hint="eastAsia" w:ascii="微软雅黑" w:hAnsi="微软雅黑" w:eastAsia="微软雅黑" w:cs="微软雅黑"/>
                <w:b/>
                <w:i w:val="0"/>
                <w:color w:val="FFFFFF"/>
                <w:sz w:val="20"/>
              </w:rPr>
              <w:t>顶部导航栏（时钟 | LOGO + 单位名称 + 系统标题 | 天气）</w:t>
            </w:r>
          </w:p>
        </w:tc>
      </w:tr>
      <w:tr w14:paraId="2F68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2" w:type="dxa"/>
            <w:shd w:val="clear" w:color="auto" w:fill="1E40AF"/>
          </w:tcPr>
          <w:p w14:paraId="5E4D392B">
            <w:pPr>
              <w:spacing w:after="0" w:line="240" w:lineRule="auto"/>
              <w:jc w:val="center"/>
              <w:rPr>
                <w:rFonts w:hint="eastAsia" w:ascii="微软雅黑" w:hAnsi="微软雅黑" w:eastAsia="微软雅黑" w:cs="微软雅黑"/>
              </w:rPr>
            </w:pPr>
            <w:r>
              <w:rPr>
                <w:rFonts w:hint="eastAsia" w:ascii="微软雅黑" w:hAnsi="微软雅黑" w:eastAsia="微软雅黑" w:cs="微软雅黑"/>
                <w:b/>
                <w:i w:val="0"/>
                <w:color w:val="FFFFFF"/>
                <w:sz w:val="20"/>
              </w:rPr>
              <w:t>1区</w:t>
            </w:r>
          </w:p>
        </w:tc>
        <w:tc>
          <w:tcPr>
            <w:tcW w:w="1772" w:type="dxa"/>
            <w:shd w:val="clear" w:color="auto" w:fill="1D4ED8"/>
          </w:tcPr>
          <w:p w14:paraId="612FF283">
            <w:pPr>
              <w:spacing w:after="0" w:line="240" w:lineRule="auto"/>
              <w:jc w:val="center"/>
              <w:rPr>
                <w:rFonts w:hint="eastAsia" w:ascii="微软雅黑" w:hAnsi="微软雅黑" w:eastAsia="微软雅黑" w:cs="微软雅黑"/>
              </w:rPr>
            </w:pPr>
            <w:r>
              <w:rPr>
                <w:rFonts w:hint="eastAsia" w:ascii="微软雅黑" w:hAnsi="微软雅黑" w:eastAsia="微软雅黑" w:cs="微软雅黑"/>
                <w:b/>
                <w:i w:val="0"/>
                <w:color w:val="FFFFFF"/>
                <w:sz w:val="20"/>
              </w:rPr>
              <w:t>2区</w:t>
            </w:r>
          </w:p>
        </w:tc>
        <w:tc>
          <w:tcPr>
            <w:tcW w:w="3225" w:type="dxa"/>
            <w:shd w:val="clear" w:color="auto" w:fill="1E40AF"/>
          </w:tcPr>
          <w:p w14:paraId="67BBC1EA">
            <w:pPr>
              <w:spacing w:after="0" w:line="240" w:lineRule="auto"/>
              <w:jc w:val="center"/>
              <w:rPr>
                <w:rFonts w:hint="eastAsia" w:ascii="微软雅黑" w:hAnsi="微软雅黑" w:eastAsia="微软雅黑" w:cs="微软雅黑"/>
              </w:rPr>
            </w:pPr>
            <w:r>
              <w:rPr>
                <w:rFonts w:hint="eastAsia" w:ascii="微软雅黑" w:hAnsi="微软雅黑" w:eastAsia="微软雅黑" w:cs="微软雅黑"/>
                <w:b/>
                <w:i w:val="0"/>
                <w:color w:val="FFFFFF"/>
                <w:sz w:val="20"/>
              </w:rPr>
              <w:t>3区</w:t>
            </w:r>
          </w:p>
        </w:tc>
        <w:tc>
          <w:tcPr>
            <w:tcW w:w="1903" w:type="dxa"/>
            <w:shd w:val="clear" w:color="auto" w:fill="1D4ED8"/>
          </w:tcPr>
          <w:p w14:paraId="3BA69498">
            <w:pPr>
              <w:spacing w:after="0" w:line="240" w:lineRule="auto"/>
              <w:jc w:val="center"/>
              <w:rPr>
                <w:rFonts w:hint="eastAsia" w:ascii="微软雅黑" w:hAnsi="微软雅黑" w:eastAsia="微软雅黑" w:cs="微软雅黑"/>
              </w:rPr>
            </w:pPr>
            <w:r>
              <w:rPr>
                <w:rFonts w:hint="eastAsia" w:ascii="微软雅黑" w:hAnsi="微软雅黑" w:eastAsia="微软雅黑" w:cs="微软雅黑"/>
                <w:b/>
                <w:i w:val="0"/>
                <w:color w:val="FFFFFF"/>
                <w:sz w:val="20"/>
              </w:rPr>
              <w:t>4区</w:t>
            </w:r>
          </w:p>
        </w:tc>
      </w:tr>
      <w:tr w14:paraId="59605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2" w:type="dxa"/>
            <w:shd w:val="clear" w:color="auto" w:fill="EFF6FF"/>
            <w:vAlign w:val="center"/>
          </w:tcPr>
          <w:p w14:paraId="77B9DB34">
            <w:pPr>
              <w:spacing w:after="0" w:line="240" w:lineRule="auto"/>
              <w:jc w:val="left"/>
              <w:rPr>
                <w:rFonts w:hint="eastAsia" w:ascii="微软雅黑" w:hAnsi="微软雅黑" w:eastAsia="微软雅黑" w:cs="微软雅黑"/>
              </w:rPr>
            </w:pPr>
            <w:r>
              <w:rPr>
                <w:rFonts w:hint="eastAsia" w:ascii="微软雅黑" w:hAnsi="微软雅黑" w:eastAsia="微软雅黑" w:cs="微软雅黑"/>
                <w:b w:val="0"/>
                <w:i w:val="0"/>
                <w:color w:val="1F2937"/>
                <w:sz w:val="19"/>
              </w:rPr>
              <w:t>• 基本情况统计</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安全分级统计</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人员进出走势</w:t>
            </w:r>
          </w:p>
        </w:tc>
        <w:tc>
          <w:tcPr>
            <w:tcW w:w="1772" w:type="dxa"/>
            <w:shd w:val="clear" w:color="auto" w:fill="FFFFFF"/>
            <w:vAlign w:val="center"/>
          </w:tcPr>
          <w:p w14:paraId="044DF2ED">
            <w:pPr>
              <w:spacing w:after="0" w:line="240" w:lineRule="auto"/>
              <w:jc w:val="left"/>
              <w:rPr>
                <w:rFonts w:hint="eastAsia" w:ascii="微软雅黑" w:hAnsi="微软雅黑" w:eastAsia="微软雅黑" w:cs="微软雅黑"/>
                <w:b w:val="0"/>
                <w:i w:val="0"/>
                <w:color w:val="1F2937"/>
                <w:sz w:val="19"/>
              </w:rPr>
            </w:pPr>
            <w:r>
              <w:rPr>
                <w:rFonts w:hint="eastAsia" w:ascii="微软雅黑" w:hAnsi="微软雅黑" w:eastAsia="微软雅黑" w:cs="微软雅黑"/>
                <w:b w:val="0"/>
                <w:i w:val="0"/>
                <w:color w:val="1F2937"/>
                <w:sz w:val="19"/>
              </w:rPr>
              <w:t>• 智能环境感知</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xml:space="preserve">  应用设备统计</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设备分类及</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xml:space="preserve">  使用统计</w:t>
            </w:r>
          </w:p>
          <w:p w14:paraId="6FC8DA60">
            <w:pPr>
              <w:spacing w:after="0" w:line="240" w:lineRule="auto"/>
              <w:jc w:val="left"/>
              <w:rPr>
                <w:rFonts w:hint="eastAsia" w:ascii="微软雅黑" w:hAnsi="微软雅黑" w:eastAsia="微软雅黑" w:cs="微软雅黑"/>
                <w:b w:val="0"/>
                <w:i w:val="0"/>
                <w:color w:val="1F2937"/>
                <w:sz w:val="19"/>
              </w:rPr>
            </w:pPr>
            <w:r>
              <w:rPr>
                <w:rFonts w:hint="eastAsia" w:ascii="微软雅黑" w:hAnsi="微软雅黑" w:eastAsia="微软雅黑" w:cs="微软雅黑"/>
                <w:b w:val="0"/>
                <w:i w:val="0"/>
                <w:color w:val="1F2937"/>
                <w:sz w:val="19"/>
              </w:rPr>
              <w:t xml:space="preserve">• </w:t>
            </w:r>
            <w:r>
              <w:rPr>
                <w:rFonts w:hint="eastAsia" w:ascii="微软雅黑" w:hAnsi="微软雅黑" w:eastAsia="微软雅黑" w:cs="微软雅黑"/>
                <w:b w:val="0"/>
                <w:i w:val="0"/>
                <w:color w:val="1F2937"/>
                <w:sz w:val="19"/>
                <w:lang w:val="en-US" w:eastAsia="zh-CN"/>
              </w:rPr>
              <w:t>化学品</w:t>
            </w:r>
            <w:r>
              <w:rPr>
                <w:rFonts w:hint="eastAsia" w:ascii="微软雅黑" w:hAnsi="微软雅黑" w:eastAsia="微软雅黑" w:cs="微软雅黑"/>
                <w:b w:val="0"/>
                <w:i w:val="0"/>
                <w:color w:val="1F2937"/>
                <w:sz w:val="19"/>
              </w:rPr>
              <w:t>库存动态统计</w:t>
            </w:r>
          </w:p>
        </w:tc>
        <w:tc>
          <w:tcPr>
            <w:tcW w:w="3225" w:type="dxa"/>
            <w:shd w:val="clear" w:color="auto" w:fill="EFF6FF"/>
            <w:vAlign w:val="center"/>
          </w:tcPr>
          <w:p w14:paraId="7B03891D">
            <w:pPr>
              <w:spacing w:after="0" w:line="240" w:lineRule="auto"/>
              <w:jc w:val="left"/>
              <w:rPr>
                <w:rFonts w:hint="default" w:ascii="微软雅黑" w:hAnsi="微软雅黑" w:eastAsia="微软雅黑" w:cs="微软雅黑"/>
                <w:lang w:val="en-US" w:eastAsia="zh-CN"/>
              </w:rPr>
            </w:pPr>
            <w:r>
              <w:rPr>
                <w:rFonts w:hint="eastAsia" w:ascii="微软雅黑" w:hAnsi="微软雅黑" w:eastAsia="微软雅黑" w:cs="微软雅黑"/>
                <w:b w:val="0"/>
                <w:i w:val="0"/>
                <w:color w:val="1F2937"/>
                <w:sz w:val="19"/>
              </w:rPr>
              <w:t>• 实时监控（固定显示）</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左侧：搜索/筛选/树状图</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右侧：</w:t>
            </w:r>
            <w:r>
              <w:rPr>
                <w:rFonts w:hint="eastAsia" w:ascii="微软雅黑" w:hAnsi="微软雅黑" w:eastAsia="微软雅黑" w:cs="微软雅黑"/>
                <w:b w:val="0"/>
                <w:i w:val="0"/>
                <w:color w:val="1F2937"/>
                <w:sz w:val="19"/>
                <w:lang w:val="en-US" w:eastAsia="zh-CN"/>
              </w:rPr>
              <w:t>实时监控画面</w:t>
            </w:r>
          </w:p>
        </w:tc>
        <w:tc>
          <w:tcPr>
            <w:tcW w:w="1903" w:type="dxa"/>
            <w:shd w:val="clear" w:color="auto" w:fill="FFFFFF"/>
            <w:vAlign w:val="center"/>
          </w:tcPr>
          <w:p w14:paraId="06175AAF">
            <w:pPr>
              <w:spacing w:after="0" w:line="240" w:lineRule="auto"/>
              <w:jc w:val="left"/>
              <w:rPr>
                <w:rFonts w:hint="eastAsia" w:ascii="微软雅黑" w:hAnsi="微软雅黑" w:eastAsia="微软雅黑" w:cs="微软雅黑"/>
              </w:rPr>
            </w:pPr>
            <w:r>
              <w:rPr>
                <w:rFonts w:hint="eastAsia" w:ascii="微软雅黑" w:hAnsi="微软雅黑" w:eastAsia="微软雅黑" w:cs="微软雅黑"/>
                <w:b w:val="0"/>
                <w:i w:val="0"/>
                <w:color w:val="1F2937"/>
                <w:sz w:val="19"/>
              </w:rPr>
              <w:t>• 实验环境安全</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xml:space="preserve">  智能感知</w:t>
            </w:r>
            <w:r>
              <w:rPr>
                <w:rFonts w:hint="eastAsia" w:ascii="微软雅黑" w:hAnsi="微软雅黑" w:eastAsia="微软雅黑" w:cs="微软雅黑"/>
                <w:b w:val="0"/>
                <w:i w:val="0"/>
                <w:color w:val="1F2937"/>
                <w:sz w:val="19"/>
              </w:rPr>
              <w:br w:type="textWrapping"/>
            </w:r>
            <w:r>
              <w:rPr>
                <w:rFonts w:hint="eastAsia" w:ascii="微软雅黑" w:hAnsi="微软雅黑" w:eastAsia="微软雅黑" w:cs="微软雅黑"/>
                <w:b w:val="0"/>
                <w:i w:val="0"/>
                <w:color w:val="1F2937"/>
                <w:sz w:val="19"/>
              </w:rPr>
              <w:t>• 实时风险预警</w:t>
            </w:r>
          </w:p>
        </w:tc>
      </w:tr>
    </w:tbl>
    <w:p w14:paraId="39E2ADAA">
      <w:pPr>
        <w:pStyle w:val="2"/>
        <w:spacing w:line="360" w:lineRule="auto"/>
        <w:rPr>
          <w:rFonts w:hint="eastAsia" w:ascii="微软雅黑" w:hAnsi="微软雅黑" w:eastAsia="微软雅黑" w:cs="微软雅黑"/>
          <w:b/>
          <w:bCs/>
          <w:color w:val="000000" w:themeColor="text1"/>
          <w:sz w:val="28"/>
          <w:szCs w:val="32"/>
          <w14:textFill>
            <w14:solidFill>
              <w14:schemeClr w14:val="tx1"/>
            </w14:solidFill>
          </w14:textFill>
        </w:rPr>
      </w:pPr>
      <w:bookmarkStart w:id="1" w:name="_Toc28005"/>
      <w:r>
        <w:rPr>
          <w:rFonts w:hint="eastAsia" w:ascii="微软雅黑" w:hAnsi="微软雅黑" w:eastAsia="微软雅黑" w:cs="微软雅黑"/>
          <w:b/>
          <w:bCs/>
          <w:color w:val="000000" w:themeColor="text1"/>
          <w:sz w:val="28"/>
          <w:szCs w:val="32"/>
          <w14:textFill>
            <w14:solidFill>
              <w14:schemeClr w14:val="tx1"/>
            </w14:solidFill>
          </w14:textFill>
        </w:rPr>
        <w:t>2 数据可视化平台整体视觉</w:t>
      </w:r>
      <w:bookmarkEnd w:id="1"/>
    </w:p>
    <w:p w14:paraId="20C9000B">
      <w:pPr>
        <w:spacing w:line="360" w:lineRule="auto"/>
        <w:jc w:val="both"/>
        <w:rPr>
          <w:rFonts w:hint="eastAsia" w:ascii="微软雅黑" w:hAnsi="微软雅黑" w:eastAsia="微软雅黑" w:cs="微软雅黑"/>
          <w:sz w:val="32"/>
          <w:szCs w:val="36"/>
          <w:lang w:eastAsia="zh-CN"/>
        </w:rPr>
      </w:pPr>
      <w:r>
        <w:rPr>
          <w:rFonts w:hint="eastAsia" w:ascii="微软雅黑" w:hAnsi="微软雅黑" w:eastAsia="微软雅黑" w:cs="微软雅黑"/>
          <w:sz w:val="32"/>
          <w:szCs w:val="36"/>
          <w:lang w:eastAsia="zh-CN"/>
        </w:rPr>
        <w:drawing>
          <wp:inline distT="0" distB="0" distL="114300" distR="114300">
            <wp:extent cx="5212080" cy="1520190"/>
            <wp:effectExtent l="0" t="0" r="7620" b="3810"/>
            <wp:docPr id="9" name="图片 9" descr="screencapture-127-0-0-1-5500-chinaSafety-9600-prototype-ui-index-v2-html-2026-03-23-17_19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creencapture-127-0-0-1-5500-chinaSafety-9600-prototype-ui-index-v2-html-2026-03-23-17_19_36"/>
                    <pic:cNvPicPr>
                      <a:picLocks noChangeAspect="1"/>
                    </pic:cNvPicPr>
                  </pic:nvPicPr>
                  <pic:blipFill>
                    <a:blip r:embed="rId7"/>
                    <a:stretch>
                      <a:fillRect/>
                    </a:stretch>
                  </pic:blipFill>
                  <pic:spPr>
                    <a:xfrm>
                      <a:off x="0" y="0"/>
                      <a:ext cx="5212080" cy="1520190"/>
                    </a:xfrm>
                    <a:prstGeom prst="rect">
                      <a:avLst/>
                    </a:prstGeom>
                  </pic:spPr>
                </pic:pic>
              </a:graphicData>
            </a:graphic>
          </wp:inline>
        </w:drawing>
      </w:r>
    </w:p>
    <w:p w14:paraId="64325286">
      <w:pPr>
        <w:spacing w:line="360" w:lineRule="auto"/>
        <w:jc w:val="center"/>
        <w:rPr>
          <w:rFonts w:hint="eastAsia" w:ascii="微软雅黑" w:hAnsi="微软雅黑" w:eastAsia="微软雅黑" w:cs="微软雅黑"/>
          <w:sz w:val="32"/>
          <w:szCs w:val="36"/>
          <w:lang w:eastAsia="zh-CN"/>
        </w:rPr>
      </w:pPr>
      <w:r>
        <w:rPr>
          <w:rFonts w:hint="eastAsia" w:ascii="微软雅黑" w:hAnsi="微软雅黑" w:eastAsia="微软雅黑" w:cs="微软雅黑"/>
          <w:sz w:val="20"/>
          <w:szCs w:val="21"/>
        </w:rPr>
        <w:t>图1 数据可视化平台主页</w:t>
      </w:r>
    </w:p>
    <w:p w14:paraId="02CF1ABE">
      <w:pPr>
        <w:pStyle w:val="2"/>
        <w:spacing w:line="360" w:lineRule="auto"/>
        <w:rPr>
          <w:rFonts w:hint="eastAsia" w:ascii="微软雅黑" w:hAnsi="微软雅黑" w:eastAsia="微软雅黑" w:cs="微软雅黑"/>
          <w:color w:val="auto"/>
          <w:sz w:val="20"/>
          <w:szCs w:val="21"/>
        </w:rPr>
      </w:pPr>
      <w:bookmarkStart w:id="2" w:name="_Toc21808"/>
      <w:r>
        <w:rPr>
          <w:rFonts w:hint="eastAsia" w:ascii="微软雅黑" w:hAnsi="微软雅黑" w:eastAsia="微软雅黑" w:cs="微软雅黑"/>
          <w:b/>
          <w:bCs/>
          <w:color w:val="000000" w:themeColor="text1"/>
          <w:sz w:val="28"/>
          <w:szCs w:val="32"/>
          <w14:textFill>
            <w14:solidFill>
              <w14:schemeClr w14:val="tx1"/>
            </w14:solidFill>
          </w14:textFill>
        </w:rPr>
        <w:t>3 各统计模块功能及数据来源</w:t>
      </w:r>
      <w:bookmarkEnd w:id="2"/>
    </w:p>
    <w:p w14:paraId="27D19A04">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3" w:name="_Toc24169"/>
      <w:r>
        <w:rPr>
          <w:rFonts w:hint="eastAsia" w:ascii="微软雅黑" w:hAnsi="微软雅黑" w:eastAsia="微软雅黑" w:cs="微软雅黑"/>
          <w:color w:val="000000" w:themeColor="text1"/>
          <w:sz w:val="24"/>
          <w:szCs w:val="28"/>
          <w14:textFill>
            <w14:solidFill>
              <w14:schemeClr w14:val="tx1"/>
            </w14:solidFill>
          </w14:textFill>
        </w:rPr>
        <w:t>3.1 实验室实时数据</w:t>
      </w:r>
      <w:bookmarkEnd w:id="3"/>
    </w:p>
    <w:p w14:paraId="2DDF6EF6">
      <w:pPr>
        <w:spacing w:line="360" w:lineRule="auto"/>
        <w:jc w:val="center"/>
        <w:rPr>
          <w:rFonts w:hint="eastAsia" w:ascii="微软雅黑" w:hAnsi="微软雅黑" w:eastAsia="微软雅黑" w:cs="微软雅黑"/>
          <w:sz w:val="32"/>
          <w:szCs w:val="36"/>
        </w:rPr>
      </w:pPr>
      <w:r>
        <w:rPr>
          <w:rFonts w:hint="eastAsia" w:ascii="微软雅黑" w:hAnsi="微软雅黑" w:eastAsia="微软雅黑" w:cs="微软雅黑"/>
        </w:rPr>
        <w:drawing>
          <wp:inline distT="0" distB="0" distL="114300" distR="114300">
            <wp:extent cx="5260975" cy="2713355"/>
            <wp:effectExtent l="0" t="0" r="1587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0975" cy="2713355"/>
                    </a:xfrm>
                    <a:prstGeom prst="rect">
                      <a:avLst/>
                    </a:prstGeom>
                    <a:noFill/>
                    <a:ln>
                      <a:noFill/>
                    </a:ln>
                  </pic:spPr>
                </pic:pic>
              </a:graphicData>
            </a:graphic>
          </wp:inline>
        </w:drawing>
      </w:r>
    </w:p>
    <w:p w14:paraId="2BDB9801">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2</w:t>
      </w:r>
      <w:r>
        <w:rPr>
          <w:rFonts w:hint="eastAsia" w:ascii="微软雅黑" w:hAnsi="微软雅黑" w:eastAsia="微软雅黑" w:cs="微软雅黑"/>
          <w:sz w:val="20"/>
          <w:szCs w:val="21"/>
        </w:rPr>
        <w:t xml:space="preserve"> 实验室实时数据</w:t>
      </w:r>
    </w:p>
    <w:p w14:paraId="67337E7D">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实验室实时数据统计模块主要统计实验室相关动态数据，包括实验室总数、各级实验室数据以及使用中、异常和空闲的实验室数据，具体统计规则如下：</w:t>
      </w:r>
    </w:p>
    <w:p w14:paraId="4BBE1286">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使用：统计当前有通过电子信息牌进行签到且未离开的实验人员的实验室总数；</w:t>
      </w:r>
    </w:p>
    <w:p w14:paraId="441005CF">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异常：统计当前发生应急预警/预案的实验室总数；</w:t>
      </w:r>
    </w:p>
    <w:p w14:paraId="07E9B913">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空闲：统计当前没有实验人员的实验室总数；</w:t>
      </w:r>
    </w:p>
    <w:p w14:paraId="54F97244">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总数：统计当前系统内各二级单位下属的全部实验室数；</w:t>
      </w:r>
    </w:p>
    <w:p w14:paraId="6E1417CA">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分级：统计各级别实验室总数（分级数据可在系统实验室基础数据中配置）。</w:t>
      </w:r>
    </w:p>
    <w:p w14:paraId="53A687FA">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4" w:name="_Toc20192"/>
      <w:r>
        <w:rPr>
          <w:rFonts w:hint="eastAsia" w:ascii="微软雅黑" w:hAnsi="微软雅黑" w:eastAsia="微软雅黑" w:cs="微软雅黑"/>
          <w:color w:val="000000" w:themeColor="text1"/>
          <w:sz w:val="24"/>
          <w:szCs w:val="28"/>
          <w14:textFill>
            <w14:solidFill>
              <w14:schemeClr w14:val="tx1"/>
            </w14:solidFill>
          </w14:textFill>
        </w:rPr>
        <w:t>3.2 实验室</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安全分级</w:t>
      </w:r>
      <w:r>
        <w:rPr>
          <w:rFonts w:hint="eastAsia" w:ascii="微软雅黑" w:hAnsi="微软雅黑" w:eastAsia="微软雅黑" w:cs="微软雅黑"/>
          <w:color w:val="000000" w:themeColor="text1"/>
          <w:sz w:val="24"/>
          <w:szCs w:val="28"/>
          <w14:textFill>
            <w14:solidFill>
              <w14:schemeClr w14:val="tx1"/>
            </w14:solidFill>
          </w14:textFill>
        </w:rPr>
        <w:t>统计</w:t>
      </w:r>
      <w:bookmarkEnd w:id="4"/>
    </w:p>
    <w:p w14:paraId="1F99E720">
      <w:pPr>
        <w:spacing w:line="360" w:lineRule="auto"/>
        <w:jc w:val="center"/>
        <w:rPr>
          <w:rFonts w:hint="eastAsia" w:ascii="微软雅黑" w:hAnsi="微软雅黑" w:eastAsia="微软雅黑" w:cs="微软雅黑"/>
          <w:sz w:val="32"/>
          <w:szCs w:val="36"/>
        </w:rPr>
      </w:pPr>
      <w:r>
        <w:rPr>
          <w:rFonts w:hint="eastAsia" w:ascii="微软雅黑" w:hAnsi="微软雅黑" w:eastAsia="微软雅黑" w:cs="微软雅黑"/>
        </w:rPr>
        <w:drawing>
          <wp:inline distT="0" distB="0" distL="114300" distR="114300">
            <wp:extent cx="5260975" cy="2838450"/>
            <wp:effectExtent l="0" t="0" r="1587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9"/>
                    <a:stretch>
                      <a:fillRect/>
                    </a:stretch>
                  </pic:blipFill>
                  <pic:spPr>
                    <a:xfrm>
                      <a:off x="0" y="0"/>
                      <a:ext cx="5260975" cy="2838450"/>
                    </a:xfrm>
                    <a:prstGeom prst="rect">
                      <a:avLst/>
                    </a:prstGeom>
                    <a:noFill/>
                    <a:ln>
                      <a:noFill/>
                    </a:ln>
                  </pic:spPr>
                </pic:pic>
              </a:graphicData>
            </a:graphic>
          </wp:inline>
        </w:drawing>
      </w:r>
    </w:p>
    <w:p w14:paraId="16004007">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3</w:t>
      </w:r>
      <w:r>
        <w:rPr>
          <w:rFonts w:hint="eastAsia" w:ascii="微软雅黑" w:hAnsi="微软雅黑" w:eastAsia="微软雅黑" w:cs="微软雅黑"/>
          <w:sz w:val="20"/>
          <w:szCs w:val="21"/>
        </w:rPr>
        <w:t xml:space="preserve"> 实验室</w:t>
      </w:r>
      <w:r>
        <w:rPr>
          <w:rFonts w:hint="eastAsia" w:ascii="微软雅黑" w:hAnsi="微软雅黑" w:eastAsia="微软雅黑" w:cs="微软雅黑"/>
          <w:sz w:val="20"/>
          <w:szCs w:val="21"/>
          <w:lang w:val="en-US" w:eastAsia="zh-CN"/>
        </w:rPr>
        <w:t>安全分级</w:t>
      </w:r>
      <w:r>
        <w:rPr>
          <w:rFonts w:hint="eastAsia" w:ascii="微软雅黑" w:hAnsi="微软雅黑" w:eastAsia="微软雅黑" w:cs="微软雅黑"/>
          <w:sz w:val="20"/>
          <w:szCs w:val="21"/>
        </w:rPr>
        <w:t>统计</w:t>
      </w:r>
    </w:p>
    <w:p w14:paraId="4823A82A">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统计安科院各研究所下属实验室的总数及分级数据。</w:t>
      </w:r>
    </w:p>
    <w:p w14:paraId="55E2365C">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5" w:name="_Toc12106"/>
      <w:r>
        <w:rPr>
          <w:rFonts w:hint="eastAsia" w:ascii="微软雅黑" w:hAnsi="微软雅黑" w:eastAsia="微软雅黑" w:cs="微软雅黑"/>
          <w:color w:val="000000" w:themeColor="text1"/>
          <w:sz w:val="24"/>
          <w:szCs w:val="28"/>
          <w14:textFill>
            <w14:solidFill>
              <w14:schemeClr w14:val="tx1"/>
            </w14:solidFill>
          </w14:textFill>
        </w:rPr>
        <w:t>3.3 实验室进入人数统计及走势</w:t>
      </w:r>
      <w:bookmarkEnd w:id="5"/>
    </w:p>
    <w:p w14:paraId="0CA4C4FA">
      <w:pPr>
        <w:spacing w:line="360" w:lineRule="auto"/>
        <w:jc w:val="center"/>
        <w:rPr>
          <w:rFonts w:hint="eastAsia" w:ascii="微软雅黑" w:hAnsi="微软雅黑" w:eastAsia="微软雅黑" w:cs="微软雅黑"/>
          <w:sz w:val="32"/>
          <w:szCs w:val="36"/>
        </w:rPr>
      </w:pPr>
      <w:r>
        <w:rPr>
          <w:rFonts w:hint="eastAsia" w:ascii="微软雅黑" w:hAnsi="微软雅黑" w:eastAsia="微软雅黑" w:cs="微软雅黑"/>
        </w:rPr>
        <w:drawing>
          <wp:inline distT="0" distB="0" distL="114300" distR="114300">
            <wp:extent cx="5271135" cy="1680845"/>
            <wp:effectExtent l="0" t="0" r="5715" b="146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a:stretch>
                      <a:fillRect/>
                    </a:stretch>
                  </pic:blipFill>
                  <pic:spPr>
                    <a:xfrm>
                      <a:off x="0" y="0"/>
                      <a:ext cx="5271135" cy="1680845"/>
                    </a:xfrm>
                    <a:prstGeom prst="rect">
                      <a:avLst/>
                    </a:prstGeom>
                    <a:noFill/>
                    <a:ln>
                      <a:noFill/>
                    </a:ln>
                  </pic:spPr>
                </pic:pic>
              </a:graphicData>
            </a:graphic>
          </wp:inline>
        </w:drawing>
      </w:r>
    </w:p>
    <w:p w14:paraId="66551DD4">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4</w:t>
      </w:r>
      <w:r>
        <w:rPr>
          <w:rFonts w:hint="eastAsia" w:ascii="微软雅黑" w:hAnsi="微软雅黑" w:eastAsia="微软雅黑" w:cs="微软雅黑"/>
          <w:sz w:val="20"/>
          <w:szCs w:val="21"/>
        </w:rPr>
        <w:t xml:space="preserve"> 实验室使用走势图</w:t>
      </w:r>
    </w:p>
    <w:p w14:paraId="6B63D298">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展示今日总进入人数和当前实验人数，折线图呈现全天各时段人员进出走势，按小时统计正在使用中的实验室（有通过电子信息牌签到的实验人员）数量。</w:t>
      </w:r>
    </w:p>
    <w:p w14:paraId="40E4BFF7">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6" w:name="_Toc13835"/>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4</w:t>
      </w:r>
      <w:r>
        <w:rPr>
          <w:rFonts w:hint="eastAsia" w:ascii="微软雅黑" w:hAnsi="微软雅黑" w:eastAsia="微软雅黑" w:cs="微软雅黑"/>
          <w:color w:val="000000" w:themeColor="text1"/>
          <w:sz w:val="24"/>
          <w:szCs w:val="28"/>
          <w14:textFill>
            <w14:solidFill>
              <w14:schemeClr w14:val="tx1"/>
            </w14:solidFill>
          </w14:textFill>
        </w:rPr>
        <w:t xml:space="preserve"> 智能环境感知设备统计</w:t>
      </w:r>
      <w:bookmarkEnd w:id="6"/>
    </w:p>
    <w:p w14:paraId="511E9599">
      <w:pPr>
        <w:jc w:val="center"/>
        <w:rPr>
          <w:rFonts w:hint="eastAsia" w:ascii="微软雅黑" w:hAnsi="微软雅黑" w:eastAsia="微软雅黑" w:cs="微软雅黑"/>
        </w:rPr>
      </w:pPr>
      <w:r>
        <w:drawing>
          <wp:inline distT="0" distB="0" distL="114300" distR="114300">
            <wp:extent cx="5266690" cy="2602865"/>
            <wp:effectExtent l="0" t="0" r="10160" b="698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1"/>
                    <a:stretch>
                      <a:fillRect/>
                    </a:stretch>
                  </pic:blipFill>
                  <pic:spPr>
                    <a:xfrm>
                      <a:off x="0" y="0"/>
                      <a:ext cx="5266690" cy="2602865"/>
                    </a:xfrm>
                    <a:prstGeom prst="rect">
                      <a:avLst/>
                    </a:prstGeom>
                    <a:noFill/>
                    <a:ln>
                      <a:noFill/>
                    </a:ln>
                  </pic:spPr>
                </pic:pic>
              </a:graphicData>
            </a:graphic>
          </wp:inline>
        </w:drawing>
      </w:r>
    </w:p>
    <w:p w14:paraId="3EA521C3">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5</w:t>
      </w:r>
      <w:r>
        <w:rPr>
          <w:rFonts w:hint="eastAsia" w:ascii="微软雅黑" w:hAnsi="微软雅黑" w:eastAsia="微软雅黑" w:cs="微软雅黑"/>
          <w:sz w:val="20"/>
          <w:szCs w:val="21"/>
        </w:rPr>
        <w:t xml:space="preserve"> 物联设备统计</w:t>
      </w:r>
    </w:p>
    <w:p w14:paraId="3FFEB51C">
      <w:pPr>
        <w:rPr>
          <w:rFonts w:hint="eastAsia" w:ascii="微软雅黑" w:hAnsi="微软雅黑" w:eastAsia="微软雅黑" w:cs="微软雅黑"/>
        </w:rPr>
      </w:pPr>
      <w:r>
        <w:rPr>
          <w:rFonts w:hint="eastAsia" w:ascii="微软雅黑" w:hAnsi="微软雅黑" w:eastAsia="微软雅黑" w:cs="微软雅黑"/>
        </w:rPr>
        <w:tab/>
      </w:r>
      <w:r>
        <w:rPr>
          <w:rFonts w:hint="eastAsia" w:ascii="微软雅黑" w:hAnsi="微软雅黑" w:eastAsia="微软雅黑" w:cs="微软雅黑"/>
          <w:sz w:val="24"/>
          <w:szCs w:val="28"/>
        </w:rPr>
        <w:t>展示物联网设备在线/离线数量及在线率，</w:t>
      </w:r>
      <w:r>
        <w:rPr>
          <w:rFonts w:hint="eastAsia" w:ascii="微软雅黑" w:hAnsi="微软雅黑" w:eastAsia="微软雅黑" w:cs="微软雅黑"/>
          <w:sz w:val="24"/>
          <w:szCs w:val="28"/>
          <w:lang w:val="en-US" w:eastAsia="zh-CN"/>
        </w:rPr>
        <w:t>分别</w:t>
      </w:r>
      <w:r>
        <w:rPr>
          <w:rFonts w:hint="eastAsia" w:ascii="微软雅黑" w:hAnsi="微软雅黑" w:eastAsia="微软雅黑" w:cs="微软雅黑"/>
          <w:sz w:val="24"/>
          <w:szCs w:val="28"/>
        </w:rPr>
        <w:t>统计</w:t>
      </w:r>
      <w:r>
        <w:rPr>
          <w:rFonts w:hint="eastAsia" w:ascii="微软雅黑" w:hAnsi="微软雅黑" w:eastAsia="微软雅黑" w:cs="微软雅黑"/>
          <w:sz w:val="24"/>
          <w:szCs w:val="28"/>
          <w:lang w:val="en-US" w:eastAsia="zh-CN"/>
        </w:rPr>
        <w:t>已布设的智能设备数量（</w:t>
      </w:r>
      <w:r>
        <w:rPr>
          <w:rFonts w:hint="eastAsia" w:ascii="微软雅黑" w:hAnsi="微软雅黑" w:eastAsia="微软雅黑" w:cs="微软雅黑"/>
          <w:sz w:val="24"/>
          <w:szCs w:val="28"/>
        </w:rPr>
        <w:t>电子信息铭牌、化学品智能终端、传感器、</w:t>
      </w:r>
      <w:r>
        <w:rPr>
          <w:rFonts w:hint="eastAsia" w:ascii="微软雅黑" w:hAnsi="微软雅黑" w:eastAsia="微软雅黑" w:cs="微软雅黑"/>
          <w:sz w:val="24"/>
          <w:szCs w:val="28"/>
          <w:lang w:val="en-US" w:eastAsia="zh-CN"/>
        </w:rPr>
        <w:t>智慧摄像头、其他</w:t>
      </w:r>
      <w:r>
        <w:rPr>
          <w:rFonts w:hint="eastAsia" w:ascii="微软雅黑" w:hAnsi="微软雅黑" w:eastAsia="微软雅黑" w:cs="微软雅黑"/>
          <w:sz w:val="24"/>
          <w:szCs w:val="28"/>
        </w:rPr>
        <w:t>智能设备</w:t>
      </w:r>
      <w:r>
        <w:rPr>
          <w:rFonts w:hint="eastAsia" w:ascii="微软雅黑" w:hAnsi="微软雅黑" w:eastAsia="微软雅黑" w:cs="微软雅黑"/>
          <w:sz w:val="24"/>
          <w:szCs w:val="28"/>
          <w:lang w:eastAsia="zh-CN"/>
        </w:rPr>
        <w:t>）</w:t>
      </w:r>
      <w:r>
        <w:rPr>
          <w:rFonts w:hint="eastAsia" w:ascii="微软雅黑" w:hAnsi="微软雅黑" w:eastAsia="微软雅黑" w:cs="微软雅黑"/>
          <w:sz w:val="24"/>
          <w:szCs w:val="28"/>
        </w:rPr>
        <w:t>。</w:t>
      </w:r>
    </w:p>
    <w:p w14:paraId="2D4480A2">
      <w:pPr>
        <w:pStyle w:val="3"/>
        <w:rPr>
          <w:rFonts w:hint="eastAsia" w:ascii="微软雅黑" w:hAnsi="微软雅黑" w:eastAsia="微软雅黑" w:cs="微软雅黑"/>
          <w:color w:val="000000" w:themeColor="text1"/>
          <w:sz w:val="24"/>
          <w:szCs w:val="28"/>
          <w14:textFill>
            <w14:solidFill>
              <w14:schemeClr w14:val="tx1"/>
            </w14:solidFill>
          </w14:textFill>
        </w:rPr>
      </w:pPr>
      <w:bookmarkStart w:id="7" w:name="_Toc12669"/>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5</w:t>
      </w:r>
      <w:r>
        <w:rPr>
          <w:rFonts w:hint="eastAsia" w:ascii="微软雅黑" w:hAnsi="微软雅黑" w:eastAsia="微软雅黑" w:cs="微软雅黑"/>
          <w:color w:val="000000" w:themeColor="text1"/>
          <w:sz w:val="24"/>
          <w:szCs w:val="28"/>
          <w14:textFill>
            <w14:solidFill>
              <w14:schemeClr w14:val="tx1"/>
            </w14:solidFill>
          </w14:textFill>
        </w:rPr>
        <w:t xml:space="preserve"> 实验室设备分类及使用统计</w:t>
      </w:r>
      <w:bookmarkEnd w:id="7"/>
    </w:p>
    <w:p w14:paraId="35A2301F">
      <w:pPr>
        <w:spacing w:line="360" w:lineRule="auto"/>
        <w:jc w:val="center"/>
        <w:rPr>
          <w:rFonts w:hint="eastAsia" w:ascii="微软雅黑" w:hAnsi="微软雅黑" w:eastAsia="微软雅黑" w:cs="微软雅黑"/>
          <w:sz w:val="20"/>
          <w:szCs w:val="21"/>
        </w:rPr>
      </w:pPr>
      <w:r>
        <w:drawing>
          <wp:inline distT="0" distB="0" distL="114300" distR="114300">
            <wp:extent cx="5270500" cy="3999865"/>
            <wp:effectExtent l="0" t="0" r="6350" b="63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2"/>
                    <a:stretch>
                      <a:fillRect/>
                    </a:stretch>
                  </pic:blipFill>
                  <pic:spPr>
                    <a:xfrm>
                      <a:off x="0" y="0"/>
                      <a:ext cx="5270500" cy="3999865"/>
                    </a:xfrm>
                    <a:prstGeom prst="rect">
                      <a:avLst/>
                    </a:prstGeom>
                    <a:noFill/>
                    <a:ln>
                      <a:noFill/>
                    </a:ln>
                  </pic:spPr>
                </pic:pic>
              </a:graphicData>
            </a:graphic>
          </wp:inline>
        </w:drawing>
      </w:r>
    </w:p>
    <w:p w14:paraId="50FCFA32">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6</w:t>
      </w:r>
      <w:r>
        <w:rPr>
          <w:rFonts w:hint="eastAsia" w:ascii="微软雅黑" w:hAnsi="微软雅黑" w:eastAsia="微软雅黑" w:cs="微软雅黑"/>
          <w:sz w:val="20"/>
          <w:szCs w:val="21"/>
        </w:rPr>
        <w:t xml:space="preserve"> 设备统计</w:t>
      </w:r>
    </w:p>
    <w:p w14:paraId="0A66A487">
      <w:pPr>
        <w:spacing w:line="360" w:lineRule="auto"/>
        <w:rPr>
          <w:rFonts w:hint="eastAsia" w:ascii="微软雅黑" w:hAnsi="微软雅黑" w:eastAsia="微软雅黑" w:cs="微软雅黑"/>
          <w:sz w:val="24"/>
          <w:szCs w:val="28"/>
        </w:rPr>
      </w:pPr>
      <w:r>
        <w:rPr>
          <w:rFonts w:hint="eastAsia" w:ascii="微软雅黑" w:hAnsi="微软雅黑" w:eastAsia="微软雅黑" w:cs="微软雅黑"/>
          <w:sz w:val="20"/>
          <w:szCs w:val="21"/>
        </w:rPr>
        <w:tab/>
      </w:r>
      <w:r>
        <w:rPr>
          <w:rFonts w:hint="eastAsia" w:ascii="微软雅黑" w:hAnsi="微软雅黑" w:eastAsia="微软雅黑" w:cs="微软雅黑"/>
          <w:sz w:val="24"/>
          <w:szCs w:val="28"/>
        </w:rPr>
        <w:t>饼图展示设备登记系统中获取的分类</w:t>
      </w:r>
      <w:r>
        <w:rPr>
          <w:rFonts w:hint="eastAsia" w:ascii="微软雅黑" w:hAnsi="微软雅黑" w:eastAsia="微软雅黑" w:cs="微软雅黑"/>
          <w:sz w:val="24"/>
          <w:szCs w:val="28"/>
          <w:lang w:val="en-US" w:eastAsia="zh-CN"/>
        </w:rPr>
        <w:t>下的设备数量</w:t>
      </w:r>
      <w:r>
        <w:rPr>
          <w:rFonts w:hint="eastAsia" w:ascii="微软雅黑" w:hAnsi="微软雅黑" w:eastAsia="微软雅黑" w:cs="微软雅黑"/>
          <w:sz w:val="24"/>
          <w:szCs w:val="28"/>
        </w:rPr>
        <w:t>分布，汇总设备总数、使用总时长、设备使用率，并按</w:t>
      </w:r>
      <w:r>
        <w:rPr>
          <w:rFonts w:hint="eastAsia" w:ascii="微软雅黑" w:hAnsi="微软雅黑" w:eastAsia="微软雅黑" w:cs="微软雅黑"/>
          <w:sz w:val="24"/>
          <w:szCs w:val="28"/>
          <w:lang w:val="en-US" w:eastAsia="zh-CN"/>
        </w:rPr>
        <w:t>设备状态、使用状态分别数量及占比</w:t>
      </w:r>
      <w:r>
        <w:rPr>
          <w:rFonts w:hint="eastAsia" w:ascii="微软雅黑" w:hAnsi="微软雅黑" w:eastAsia="微软雅黑" w:cs="微软雅黑"/>
          <w:sz w:val="24"/>
          <w:szCs w:val="28"/>
        </w:rPr>
        <w:t>。</w:t>
      </w:r>
    </w:p>
    <w:p w14:paraId="568E7629">
      <w:pPr>
        <w:pStyle w:val="3"/>
        <w:rPr>
          <w:rFonts w:hint="eastAsia" w:ascii="微软雅黑" w:hAnsi="微软雅黑" w:eastAsia="微软雅黑" w:cs="微软雅黑"/>
          <w:color w:val="000000" w:themeColor="text1"/>
          <w:sz w:val="24"/>
          <w:szCs w:val="28"/>
          <w:lang w:val="en-US" w:eastAsia="zh-CN"/>
          <w14:textFill>
            <w14:solidFill>
              <w14:schemeClr w14:val="tx1"/>
            </w14:solidFill>
          </w14:textFill>
        </w:rPr>
      </w:pPr>
      <w:bookmarkStart w:id="8" w:name="_Toc14582"/>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6</w:t>
      </w:r>
      <w:r>
        <w:rPr>
          <w:rFonts w:hint="eastAsia" w:ascii="微软雅黑" w:hAnsi="微软雅黑" w:eastAsia="微软雅黑" w:cs="微软雅黑"/>
          <w:color w:val="000000" w:themeColor="text1"/>
          <w:sz w:val="24"/>
          <w:szCs w:val="28"/>
          <w14:textFill>
            <w14:solidFill>
              <w14:schemeClr w14:val="tx1"/>
            </w14:solidFill>
          </w14:textFill>
        </w:rPr>
        <w:t xml:space="preserve"> </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化学品库存动态统计</w:t>
      </w:r>
      <w:bookmarkEnd w:id="8"/>
    </w:p>
    <w:p w14:paraId="12B4C303">
      <w:pPr>
        <w:rPr>
          <w:rFonts w:hint="default"/>
          <w:lang w:val="en-US" w:eastAsia="zh-CN"/>
        </w:rPr>
      </w:pPr>
      <w:r>
        <w:drawing>
          <wp:inline distT="0" distB="0" distL="114300" distR="114300">
            <wp:extent cx="5268595" cy="3039110"/>
            <wp:effectExtent l="0" t="0" r="8255" b="889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3"/>
                    <a:stretch>
                      <a:fillRect/>
                    </a:stretch>
                  </pic:blipFill>
                  <pic:spPr>
                    <a:xfrm>
                      <a:off x="0" y="0"/>
                      <a:ext cx="5268595" cy="3039110"/>
                    </a:xfrm>
                    <a:prstGeom prst="rect">
                      <a:avLst/>
                    </a:prstGeom>
                    <a:noFill/>
                    <a:ln>
                      <a:noFill/>
                    </a:ln>
                  </pic:spPr>
                </pic:pic>
              </a:graphicData>
            </a:graphic>
          </wp:inline>
        </w:drawing>
      </w:r>
    </w:p>
    <w:p w14:paraId="3A1760E3">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7</w:t>
      </w:r>
      <w:r>
        <w:rPr>
          <w:rFonts w:hint="eastAsia" w:ascii="微软雅黑" w:hAnsi="微软雅黑" w:eastAsia="微软雅黑" w:cs="微软雅黑"/>
          <w:sz w:val="20"/>
          <w:szCs w:val="21"/>
        </w:rPr>
        <w:t xml:space="preserve"> </w:t>
      </w:r>
      <w:r>
        <w:rPr>
          <w:rFonts w:hint="eastAsia" w:ascii="微软雅黑" w:hAnsi="微软雅黑" w:eastAsia="微软雅黑" w:cs="微软雅黑"/>
          <w:sz w:val="20"/>
          <w:szCs w:val="21"/>
          <w:lang w:val="en-US" w:eastAsia="zh-CN"/>
        </w:rPr>
        <w:t>化学品库存动态</w:t>
      </w:r>
      <w:r>
        <w:rPr>
          <w:rFonts w:hint="eastAsia" w:ascii="微软雅黑" w:hAnsi="微软雅黑" w:eastAsia="微软雅黑" w:cs="微软雅黑"/>
          <w:sz w:val="20"/>
          <w:szCs w:val="21"/>
        </w:rPr>
        <w:t>统计</w:t>
      </w:r>
    </w:p>
    <w:p w14:paraId="3017D728">
      <w:pPr>
        <w:spacing w:line="360" w:lineRule="auto"/>
        <w:rPr>
          <w:rFonts w:hint="default" w:ascii="微软雅黑" w:hAnsi="微软雅黑" w:eastAsia="微软雅黑" w:cs="微软雅黑"/>
          <w:sz w:val="24"/>
          <w:szCs w:val="28"/>
          <w:lang w:val="en-US" w:eastAsia="zh-CN"/>
        </w:rPr>
      </w:pPr>
      <w:r>
        <w:rPr>
          <w:rFonts w:hint="eastAsia" w:ascii="微软雅黑" w:hAnsi="微软雅黑" w:eastAsia="微软雅黑" w:cs="微软雅黑"/>
          <w:sz w:val="24"/>
          <w:szCs w:val="28"/>
          <w:lang w:val="en-US" w:eastAsia="zh-CN"/>
        </w:rPr>
        <w:t>饼图统计展示</w:t>
      </w:r>
      <w:r>
        <w:rPr>
          <w:rFonts w:hint="eastAsia" w:ascii="微软雅黑" w:hAnsi="微软雅黑" w:eastAsia="微软雅黑" w:cs="微软雅黑"/>
          <w:sz w:val="24"/>
          <w:szCs w:val="28"/>
        </w:rPr>
        <w:t>管控类</w:t>
      </w:r>
      <w:r>
        <w:rPr>
          <w:rFonts w:hint="eastAsia" w:ascii="微软雅黑" w:hAnsi="微软雅黑" w:eastAsia="微软雅黑" w:cs="微软雅黑"/>
          <w:sz w:val="24"/>
          <w:szCs w:val="28"/>
          <w:lang w:val="en-US" w:eastAsia="zh-CN"/>
        </w:rPr>
        <w:t>和非管控类</w:t>
      </w:r>
      <w:r>
        <w:rPr>
          <w:rFonts w:hint="eastAsia" w:ascii="微软雅黑" w:hAnsi="微软雅黑" w:eastAsia="微软雅黑" w:cs="微软雅黑"/>
          <w:sz w:val="24"/>
          <w:szCs w:val="28"/>
        </w:rPr>
        <w:t>化学品</w:t>
      </w:r>
      <w:r>
        <w:rPr>
          <w:rFonts w:hint="eastAsia" w:ascii="微软雅黑" w:hAnsi="微软雅黑" w:eastAsia="微软雅黑" w:cs="微软雅黑"/>
          <w:sz w:val="24"/>
          <w:szCs w:val="28"/>
          <w:lang w:val="en-US" w:eastAsia="zh-CN"/>
        </w:rPr>
        <w:t>库存量及占比。</w:t>
      </w:r>
    </w:p>
    <w:p w14:paraId="771D4D77">
      <w:pPr>
        <w:spacing w:line="360" w:lineRule="auto"/>
        <w:rPr>
          <w:rFonts w:hint="default" w:ascii="微软雅黑" w:hAnsi="微软雅黑" w:eastAsia="微软雅黑" w:cs="微软雅黑"/>
          <w:sz w:val="24"/>
          <w:szCs w:val="28"/>
          <w:lang w:val="en-US"/>
        </w:rPr>
      </w:pPr>
      <w:r>
        <w:rPr>
          <w:rFonts w:hint="eastAsia" w:ascii="微软雅黑" w:hAnsi="微软雅黑" w:eastAsia="微软雅黑" w:cs="微软雅黑"/>
          <w:sz w:val="24"/>
          <w:szCs w:val="28"/>
        </w:rPr>
        <w:t>统计化学品</w:t>
      </w:r>
      <w:r>
        <w:rPr>
          <w:rFonts w:hint="eastAsia" w:ascii="微软雅黑" w:hAnsi="微软雅黑" w:eastAsia="微软雅黑" w:cs="微软雅黑"/>
          <w:sz w:val="24"/>
          <w:szCs w:val="28"/>
          <w:lang w:val="en-US" w:eastAsia="zh-CN"/>
        </w:rPr>
        <w:t>库</w:t>
      </w:r>
      <w:r>
        <w:rPr>
          <w:rFonts w:hint="eastAsia" w:ascii="微软雅黑" w:hAnsi="微软雅黑" w:eastAsia="微软雅黑" w:cs="微软雅黑"/>
          <w:sz w:val="24"/>
          <w:szCs w:val="28"/>
        </w:rPr>
        <w:t>存总量</w:t>
      </w:r>
      <w:r>
        <w:rPr>
          <w:rFonts w:hint="eastAsia" w:ascii="微软雅黑" w:hAnsi="微软雅黑" w:eastAsia="微软雅黑" w:cs="微软雅黑"/>
          <w:sz w:val="24"/>
          <w:szCs w:val="28"/>
          <w:lang w:eastAsia="zh-CN"/>
        </w:rPr>
        <w:t>，</w:t>
      </w:r>
      <w:r>
        <w:rPr>
          <w:rFonts w:hint="eastAsia" w:ascii="微软雅黑" w:hAnsi="微软雅黑" w:eastAsia="微软雅黑" w:cs="微软雅黑"/>
          <w:sz w:val="24"/>
          <w:szCs w:val="28"/>
          <w:lang w:val="en-US" w:eastAsia="zh-CN"/>
        </w:rPr>
        <w:t>分别按</w:t>
      </w:r>
      <w:r>
        <w:rPr>
          <w:rFonts w:hint="eastAsia" w:ascii="微软雅黑" w:hAnsi="微软雅黑" w:eastAsia="微软雅黑" w:cs="微软雅黑"/>
          <w:sz w:val="24"/>
          <w:szCs w:val="28"/>
        </w:rPr>
        <w:t>管控类</w:t>
      </w:r>
      <w:r>
        <w:rPr>
          <w:rFonts w:hint="eastAsia" w:ascii="微软雅黑" w:hAnsi="微软雅黑" w:eastAsia="微软雅黑" w:cs="微软雅黑"/>
          <w:sz w:val="24"/>
          <w:szCs w:val="28"/>
          <w:lang w:val="en-US" w:eastAsia="zh-CN"/>
        </w:rPr>
        <w:t>和非管控类</w:t>
      </w:r>
      <w:r>
        <w:rPr>
          <w:rFonts w:hint="eastAsia" w:ascii="微软雅黑" w:hAnsi="微软雅黑" w:eastAsia="微软雅黑" w:cs="微软雅黑"/>
          <w:sz w:val="24"/>
          <w:szCs w:val="28"/>
        </w:rPr>
        <w:t>化学品</w:t>
      </w:r>
      <w:r>
        <w:rPr>
          <w:rFonts w:hint="eastAsia" w:ascii="微软雅黑" w:hAnsi="微软雅黑" w:eastAsia="微软雅黑" w:cs="微软雅黑"/>
          <w:sz w:val="24"/>
          <w:szCs w:val="28"/>
          <w:lang w:val="en-US" w:eastAsia="zh-CN"/>
        </w:rPr>
        <w:t>统计库存量及占比</w:t>
      </w:r>
      <w:r>
        <w:rPr>
          <w:rFonts w:hint="eastAsia" w:ascii="微软雅黑" w:hAnsi="微软雅黑" w:eastAsia="微软雅黑" w:cs="微软雅黑"/>
          <w:sz w:val="24"/>
          <w:szCs w:val="28"/>
        </w:rPr>
        <w:t>、</w:t>
      </w:r>
      <w:r>
        <w:rPr>
          <w:rFonts w:hint="eastAsia" w:ascii="微软雅黑" w:hAnsi="微软雅黑" w:eastAsia="微软雅黑" w:cs="微软雅黑"/>
          <w:sz w:val="24"/>
          <w:szCs w:val="28"/>
          <w:lang w:val="en-US" w:eastAsia="zh-CN"/>
        </w:rPr>
        <w:t>所属类目数，</w:t>
      </w:r>
      <w:r>
        <w:rPr>
          <w:rFonts w:hint="eastAsia" w:ascii="微软雅黑" w:hAnsi="微软雅黑" w:eastAsia="微软雅黑" w:cs="微软雅黑"/>
          <w:sz w:val="24"/>
          <w:szCs w:val="28"/>
        </w:rPr>
        <w:t>存量化学品总类目数</w:t>
      </w:r>
      <w:r>
        <w:rPr>
          <w:rFonts w:hint="eastAsia" w:ascii="微软雅黑" w:hAnsi="微软雅黑" w:eastAsia="微软雅黑" w:cs="微软雅黑"/>
          <w:sz w:val="24"/>
          <w:szCs w:val="28"/>
          <w:lang w:val="en-US" w:eastAsia="zh-CN"/>
        </w:rPr>
        <w:t>及管控、非管控类目数。</w:t>
      </w:r>
    </w:p>
    <w:p w14:paraId="0DC5570D">
      <w:pPr>
        <w:pStyle w:val="3"/>
        <w:rPr>
          <w:rFonts w:hint="eastAsia" w:ascii="微软雅黑" w:hAnsi="微软雅黑" w:eastAsia="微软雅黑" w:cs="微软雅黑"/>
          <w:color w:val="000000" w:themeColor="text1"/>
          <w:sz w:val="24"/>
          <w:szCs w:val="28"/>
          <w14:textFill>
            <w14:solidFill>
              <w14:schemeClr w14:val="tx1"/>
            </w14:solidFill>
          </w14:textFill>
        </w:rPr>
      </w:pPr>
      <w:bookmarkStart w:id="9" w:name="_Toc31309"/>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7</w:t>
      </w:r>
      <w:r>
        <w:rPr>
          <w:rFonts w:hint="eastAsia" w:ascii="微软雅黑" w:hAnsi="微软雅黑" w:eastAsia="微软雅黑" w:cs="微软雅黑"/>
          <w:color w:val="000000" w:themeColor="text1"/>
          <w:sz w:val="24"/>
          <w:szCs w:val="28"/>
          <w14:textFill>
            <w14:solidFill>
              <w14:schemeClr w14:val="tx1"/>
            </w14:solidFill>
          </w14:textFill>
        </w:rPr>
        <w:t xml:space="preserve"> 实验室实时监控</w:t>
      </w:r>
      <w:bookmarkEnd w:id="9"/>
    </w:p>
    <w:p w14:paraId="6832494F">
      <w:pPr>
        <w:jc w:val="center"/>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1743075" cy="3238500"/>
            <wp:effectExtent l="0" t="0" r="9525"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4"/>
                    <a:stretch>
                      <a:fillRect/>
                    </a:stretch>
                  </pic:blipFill>
                  <pic:spPr>
                    <a:xfrm>
                      <a:off x="0" y="0"/>
                      <a:ext cx="1743075" cy="3238500"/>
                    </a:xfrm>
                    <a:prstGeom prst="rect">
                      <a:avLst/>
                    </a:prstGeom>
                    <a:noFill/>
                    <a:ln>
                      <a:noFill/>
                    </a:ln>
                  </pic:spPr>
                </pic:pic>
              </a:graphicData>
            </a:graphic>
          </wp:inline>
        </w:drawing>
      </w:r>
    </w:p>
    <w:p w14:paraId="1F942B43">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8</w:t>
      </w:r>
      <w:r>
        <w:rPr>
          <w:rFonts w:hint="eastAsia" w:ascii="微软雅黑" w:hAnsi="微软雅黑" w:eastAsia="微软雅黑" w:cs="微软雅黑"/>
          <w:sz w:val="20"/>
          <w:szCs w:val="21"/>
        </w:rPr>
        <w:t xml:space="preserve"> 建筑结构导航</w:t>
      </w:r>
    </w:p>
    <w:p w14:paraId="41E6CAB1">
      <w:pPr>
        <w:spacing w:line="360" w:lineRule="auto"/>
        <w:rPr>
          <w:rFonts w:hint="eastAsia" w:ascii="微软雅黑" w:hAnsi="微软雅黑" w:eastAsia="微软雅黑" w:cs="微软雅黑"/>
          <w:sz w:val="24"/>
          <w:szCs w:val="28"/>
        </w:rPr>
      </w:pPr>
      <w:r>
        <w:rPr>
          <w:rFonts w:hint="eastAsia" w:ascii="微软雅黑" w:hAnsi="微软雅黑" w:eastAsia="微软雅黑" w:cs="微软雅黑"/>
          <w:sz w:val="24"/>
          <w:szCs w:val="28"/>
        </w:rPr>
        <w:tab/>
      </w:r>
      <w:r>
        <w:rPr>
          <w:rFonts w:hint="eastAsia" w:ascii="微软雅黑" w:hAnsi="微软雅黑" w:eastAsia="微软雅黑" w:cs="微软雅黑"/>
          <w:sz w:val="24"/>
          <w:szCs w:val="28"/>
        </w:rPr>
        <w:t>提供树状建筑结构浏览（院区→楼栋→楼层→房间），支持按楼栋楼层搜索和按二级单位筛选。</w:t>
      </w:r>
    </w:p>
    <w:p w14:paraId="7F24B14C">
      <w:pPr>
        <w:spacing w:line="360" w:lineRule="auto"/>
        <w:jc w:val="center"/>
        <w:rPr>
          <w:rFonts w:hint="eastAsia" w:ascii="微软雅黑" w:hAnsi="微软雅黑" w:eastAsia="微软雅黑" w:cs="微软雅黑"/>
          <w:sz w:val="24"/>
          <w:szCs w:val="28"/>
        </w:rPr>
      </w:pPr>
      <w:r>
        <w:rPr>
          <w:rFonts w:hint="eastAsia" w:ascii="微软雅黑" w:hAnsi="微软雅黑" w:eastAsia="微软雅黑" w:cs="微软雅黑"/>
        </w:rPr>
        <w:drawing>
          <wp:inline distT="0" distB="0" distL="114300" distR="114300">
            <wp:extent cx="5265420" cy="3550285"/>
            <wp:effectExtent l="0" t="0" r="11430" b="1206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5"/>
                    <a:stretch>
                      <a:fillRect/>
                    </a:stretch>
                  </pic:blipFill>
                  <pic:spPr>
                    <a:xfrm>
                      <a:off x="0" y="0"/>
                      <a:ext cx="5265420" cy="3550285"/>
                    </a:xfrm>
                    <a:prstGeom prst="rect">
                      <a:avLst/>
                    </a:prstGeom>
                    <a:noFill/>
                    <a:ln>
                      <a:noFill/>
                    </a:ln>
                  </pic:spPr>
                </pic:pic>
              </a:graphicData>
            </a:graphic>
          </wp:inline>
        </w:drawing>
      </w:r>
    </w:p>
    <w:p w14:paraId="23BCD044">
      <w:pPr>
        <w:spacing w:line="360" w:lineRule="auto"/>
        <w:jc w:val="center"/>
        <w:rPr>
          <w:rFonts w:hint="eastAsia" w:ascii="微软雅黑" w:hAnsi="微软雅黑" w:eastAsia="微软雅黑" w:cs="微软雅黑"/>
          <w:sz w:val="20"/>
          <w:szCs w:val="21"/>
          <w:lang w:val="en-US" w:eastAsia="zh-CN"/>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9</w:t>
      </w:r>
      <w:r>
        <w:rPr>
          <w:rFonts w:hint="eastAsia" w:ascii="微软雅黑" w:hAnsi="微软雅黑" w:eastAsia="微软雅黑" w:cs="微软雅黑"/>
          <w:sz w:val="20"/>
          <w:szCs w:val="21"/>
        </w:rPr>
        <w:t xml:space="preserve"> 实验室实时监控</w:t>
      </w:r>
      <w:r>
        <w:rPr>
          <w:rFonts w:hint="eastAsia" w:ascii="微软雅黑" w:hAnsi="微软雅黑" w:eastAsia="微软雅黑" w:cs="微软雅黑"/>
          <w:sz w:val="20"/>
          <w:szCs w:val="21"/>
          <w:lang w:val="en-US" w:eastAsia="zh-CN"/>
        </w:rPr>
        <w:t>示例</w:t>
      </w:r>
    </w:p>
    <w:p w14:paraId="6F541327">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展示实验室实时监控画面，支持分页浏览，首个摄像头为 AI 智能摄像头，可识别标注危险行为。</w:t>
      </w:r>
    </w:p>
    <w:p w14:paraId="1089E1A8">
      <w:pPr>
        <w:spacing w:line="360" w:lineRule="auto"/>
        <w:ind w:firstLine="420"/>
        <w:jc w:val="center"/>
        <w:rPr>
          <w:rFonts w:hint="eastAsia" w:ascii="微软雅黑" w:hAnsi="微软雅黑" w:eastAsia="微软雅黑" w:cs="微软雅黑"/>
          <w:sz w:val="24"/>
          <w:szCs w:val="28"/>
        </w:rPr>
      </w:pPr>
      <w:r>
        <w:rPr>
          <w:rFonts w:hint="eastAsia" w:ascii="微软雅黑" w:hAnsi="微软雅黑" w:eastAsia="微软雅黑" w:cs="微软雅黑"/>
        </w:rPr>
        <w:drawing>
          <wp:inline distT="0" distB="0" distL="114300" distR="114300">
            <wp:extent cx="3962400" cy="2847975"/>
            <wp:effectExtent l="0" t="0" r="0" b="952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6"/>
                    <a:stretch>
                      <a:fillRect/>
                    </a:stretch>
                  </pic:blipFill>
                  <pic:spPr>
                    <a:xfrm>
                      <a:off x="0" y="0"/>
                      <a:ext cx="3962400" cy="2847975"/>
                    </a:xfrm>
                    <a:prstGeom prst="rect">
                      <a:avLst/>
                    </a:prstGeom>
                    <a:noFill/>
                    <a:ln>
                      <a:noFill/>
                    </a:ln>
                  </pic:spPr>
                </pic:pic>
              </a:graphicData>
            </a:graphic>
          </wp:inline>
        </w:drawing>
      </w:r>
    </w:p>
    <w:p w14:paraId="0CD0400A">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10</w:t>
      </w:r>
      <w:r>
        <w:rPr>
          <w:rFonts w:hint="eastAsia" w:ascii="微软雅黑" w:hAnsi="微软雅黑" w:eastAsia="微软雅黑" w:cs="微软雅黑"/>
          <w:sz w:val="20"/>
          <w:szCs w:val="21"/>
        </w:rPr>
        <w:t xml:space="preserve"> AI算法摄像头</w:t>
      </w:r>
    </w:p>
    <w:p w14:paraId="224CDBB5">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对接安科院相关算法平台，固定一路监控流显示经过算法内部处理的智能AI摄像头数据。</w:t>
      </w:r>
    </w:p>
    <w:p w14:paraId="250E697E">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10" w:name="_Toc8053"/>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8</w:t>
      </w:r>
      <w:r>
        <w:rPr>
          <w:rFonts w:hint="eastAsia" w:ascii="微软雅黑" w:hAnsi="微软雅黑" w:eastAsia="微软雅黑" w:cs="微软雅黑"/>
          <w:color w:val="000000" w:themeColor="text1"/>
          <w:sz w:val="24"/>
          <w:szCs w:val="28"/>
          <w14:textFill>
            <w14:solidFill>
              <w14:schemeClr w14:val="tx1"/>
            </w14:solidFill>
          </w14:textFill>
        </w:rPr>
        <w:t xml:space="preserve"> 实验环境安全智能感知</w:t>
      </w:r>
      <w:bookmarkEnd w:id="10"/>
    </w:p>
    <w:p w14:paraId="707632B9">
      <w:pPr>
        <w:jc w:val="center"/>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5270500" cy="5023485"/>
            <wp:effectExtent l="0" t="0" r="6350" b="571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7"/>
                    <a:stretch>
                      <a:fillRect/>
                    </a:stretch>
                  </pic:blipFill>
                  <pic:spPr>
                    <a:xfrm>
                      <a:off x="0" y="0"/>
                      <a:ext cx="5270500" cy="5023485"/>
                    </a:xfrm>
                    <a:prstGeom prst="rect">
                      <a:avLst/>
                    </a:prstGeom>
                    <a:noFill/>
                    <a:ln>
                      <a:noFill/>
                    </a:ln>
                  </pic:spPr>
                </pic:pic>
              </a:graphicData>
            </a:graphic>
          </wp:inline>
        </w:drawing>
      </w:r>
    </w:p>
    <w:p w14:paraId="5E17D7AC">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11</w:t>
      </w:r>
      <w:r>
        <w:rPr>
          <w:rFonts w:hint="eastAsia" w:ascii="微软雅黑" w:hAnsi="微软雅黑" w:eastAsia="微软雅黑" w:cs="微软雅黑"/>
          <w:sz w:val="20"/>
          <w:szCs w:val="21"/>
        </w:rPr>
        <w:t xml:space="preserve"> 环境动态感知</w:t>
      </w:r>
    </w:p>
    <w:p w14:paraId="76F58055">
      <w:pPr>
        <w:spacing w:line="360" w:lineRule="auto"/>
        <w:rPr>
          <w:rFonts w:hint="eastAsia" w:ascii="微软雅黑" w:hAnsi="微软雅黑" w:eastAsia="微软雅黑" w:cs="微软雅黑"/>
          <w:sz w:val="24"/>
          <w:szCs w:val="28"/>
        </w:rPr>
      </w:pPr>
      <w:r>
        <w:rPr>
          <w:rFonts w:hint="eastAsia" w:ascii="微软雅黑" w:hAnsi="微软雅黑" w:eastAsia="微软雅黑" w:cs="微软雅黑"/>
          <w:sz w:val="24"/>
          <w:szCs w:val="28"/>
        </w:rPr>
        <w:tab/>
      </w:r>
      <w:r>
        <w:rPr>
          <w:rFonts w:hint="eastAsia" w:ascii="微软雅黑" w:hAnsi="微软雅黑" w:eastAsia="微软雅黑" w:cs="微软雅黑"/>
          <w:sz w:val="24"/>
          <w:szCs w:val="28"/>
        </w:rPr>
        <w:t>实时滚动展示所有实验室的传感器监测数据（温度、湿度、TVOC、CO₂、O₂等已部署的传感器），异常数据自动高亮报警。</w:t>
      </w:r>
    </w:p>
    <w:p w14:paraId="13DEBE28">
      <w:pPr>
        <w:pStyle w:val="3"/>
        <w:spacing w:line="360" w:lineRule="auto"/>
        <w:rPr>
          <w:rFonts w:hint="eastAsia" w:ascii="微软雅黑" w:hAnsi="微软雅黑" w:eastAsia="微软雅黑" w:cs="微软雅黑"/>
          <w:color w:val="000000" w:themeColor="text1"/>
          <w:sz w:val="24"/>
          <w:szCs w:val="28"/>
          <w14:textFill>
            <w14:solidFill>
              <w14:schemeClr w14:val="tx1"/>
            </w14:solidFill>
          </w14:textFill>
        </w:rPr>
      </w:pPr>
      <w:bookmarkStart w:id="11" w:name="_Toc25385"/>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9</w:t>
      </w:r>
      <w:r>
        <w:rPr>
          <w:rFonts w:hint="eastAsia" w:ascii="微软雅黑" w:hAnsi="微软雅黑" w:eastAsia="微软雅黑" w:cs="微软雅黑"/>
          <w:color w:val="000000" w:themeColor="text1"/>
          <w:sz w:val="24"/>
          <w:szCs w:val="28"/>
          <w14:textFill>
            <w14:solidFill>
              <w14:schemeClr w14:val="tx1"/>
            </w14:solidFill>
          </w14:textFill>
        </w:rPr>
        <w:t xml:space="preserve"> 实验室实时风险预警</w:t>
      </w:r>
      <w:bookmarkEnd w:id="11"/>
    </w:p>
    <w:p w14:paraId="626EC759">
      <w:pPr>
        <w:spacing w:line="360" w:lineRule="auto"/>
        <w:jc w:val="center"/>
        <w:rPr>
          <w:rFonts w:hint="eastAsia" w:ascii="微软雅黑" w:hAnsi="微软雅黑" w:eastAsia="微软雅黑" w:cs="微软雅黑"/>
          <w:sz w:val="24"/>
          <w:szCs w:val="28"/>
        </w:rPr>
      </w:pPr>
      <w:r>
        <w:drawing>
          <wp:inline distT="0" distB="0" distL="114300" distR="114300">
            <wp:extent cx="5266690" cy="2202180"/>
            <wp:effectExtent l="0" t="0" r="10160" b="762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
                    <a:stretch>
                      <a:fillRect/>
                    </a:stretch>
                  </pic:blipFill>
                  <pic:spPr>
                    <a:xfrm>
                      <a:off x="0" y="0"/>
                      <a:ext cx="5266690" cy="2202180"/>
                    </a:xfrm>
                    <a:prstGeom prst="rect">
                      <a:avLst/>
                    </a:prstGeom>
                    <a:noFill/>
                    <a:ln>
                      <a:noFill/>
                    </a:ln>
                  </pic:spPr>
                </pic:pic>
              </a:graphicData>
            </a:graphic>
          </wp:inline>
        </w:drawing>
      </w:r>
    </w:p>
    <w:p w14:paraId="7AF228B1">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w:t>
      </w:r>
      <w:r>
        <w:rPr>
          <w:rFonts w:hint="eastAsia" w:ascii="微软雅黑" w:hAnsi="微软雅黑" w:eastAsia="微软雅黑" w:cs="微软雅黑"/>
          <w:sz w:val="20"/>
          <w:szCs w:val="21"/>
          <w:lang w:val="en-US" w:eastAsia="zh-CN"/>
        </w:rPr>
        <w:t>12</w:t>
      </w:r>
      <w:r>
        <w:rPr>
          <w:rFonts w:hint="eastAsia" w:ascii="微软雅黑" w:hAnsi="微软雅黑" w:eastAsia="微软雅黑" w:cs="微软雅黑"/>
          <w:sz w:val="20"/>
          <w:szCs w:val="21"/>
        </w:rPr>
        <w:t xml:space="preserve"> 实时风险预警</w:t>
      </w:r>
    </w:p>
    <w:p w14:paraId="2B32EBFE">
      <w:pPr>
        <w:spacing w:line="360" w:lineRule="auto"/>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ab/>
      </w:r>
      <w:r>
        <w:rPr>
          <w:rFonts w:hint="eastAsia" w:ascii="微软雅黑" w:hAnsi="微软雅黑" w:eastAsia="微软雅黑" w:cs="微软雅黑"/>
          <w:sz w:val="24"/>
          <w:szCs w:val="28"/>
        </w:rPr>
        <w:t>统计本月</w:t>
      </w:r>
      <w:r>
        <w:rPr>
          <w:rFonts w:hint="eastAsia" w:ascii="微软雅黑" w:hAnsi="微软雅黑" w:eastAsia="微软雅黑" w:cs="微软雅黑"/>
          <w:sz w:val="24"/>
          <w:szCs w:val="28"/>
          <w:lang w:val="en-US" w:eastAsia="zh-CN"/>
        </w:rPr>
        <w:t>应急</w:t>
      </w:r>
      <w:r>
        <w:rPr>
          <w:rFonts w:hint="eastAsia" w:ascii="微软雅黑" w:hAnsi="微软雅黑" w:eastAsia="微软雅黑" w:cs="微软雅黑"/>
          <w:sz w:val="24"/>
          <w:szCs w:val="28"/>
        </w:rPr>
        <w:t>预警响应总数</w:t>
      </w:r>
      <w:r>
        <w:rPr>
          <w:rFonts w:hint="eastAsia" w:ascii="微软雅黑" w:hAnsi="微软雅黑" w:eastAsia="微软雅黑" w:cs="微软雅黑"/>
          <w:sz w:val="24"/>
          <w:szCs w:val="28"/>
          <w:lang w:eastAsia="zh-CN"/>
        </w:rPr>
        <w:t>、</w:t>
      </w:r>
      <w:r>
        <w:rPr>
          <w:rFonts w:hint="eastAsia" w:ascii="微软雅黑" w:hAnsi="微软雅黑" w:eastAsia="微软雅黑" w:cs="微软雅黑"/>
          <w:sz w:val="24"/>
          <w:szCs w:val="28"/>
          <w:lang w:val="en-US" w:eastAsia="zh-CN"/>
        </w:rPr>
        <w:t>化学</w:t>
      </w:r>
      <w:r>
        <w:rPr>
          <w:rFonts w:hint="eastAsia" w:ascii="微软雅黑" w:hAnsi="微软雅黑" w:eastAsia="微软雅黑" w:cs="微软雅黑"/>
          <w:sz w:val="24"/>
          <w:szCs w:val="28"/>
          <w:lang w:eastAsia="zh-CN"/>
        </w:rPr>
        <w:t>品违规带离</w:t>
      </w:r>
      <w:r>
        <w:rPr>
          <w:rFonts w:hint="eastAsia" w:ascii="微软雅黑" w:hAnsi="微软雅黑" w:eastAsia="微软雅黑" w:cs="微软雅黑"/>
          <w:sz w:val="24"/>
          <w:szCs w:val="28"/>
          <w:lang w:val="en-US" w:eastAsia="zh-CN"/>
        </w:rPr>
        <w:t>次数</w:t>
      </w:r>
      <w:r>
        <w:rPr>
          <w:rFonts w:hint="eastAsia" w:ascii="微软雅黑" w:hAnsi="微软雅黑" w:eastAsia="微软雅黑" w:cs="微软雅黑"/>
          <w:sz w:val="24"/>
          <w:szCs w:val="28"/>
        </w:rPr>
        <w:t>，实时滚动轮播最新预警通知，包含实验室信息、异常</w:t>
      </w:r>
      <w:r>
        <w:rPr>
          <w:rFonts w:hint="eastAsia" w:ascii="微软雅黑" w:hAnsi="微软雅黑" w:eastAsia="微软雅黑" w:cs="微软雅黑"/>
          <w:sz w:val="24"/>
          <w:szCs w:val="28"/>
          <w:lang w:val="en-US" w:eastAsia="zh-CN"/>
        </w:rPr>
        <w:t>信息</w:t>
      </w:r>
      <w:r>
        <w:rPr>
          <w:rFonts w:hint="eastAsia" w:ascii="微软雅黑" w:hAnsi="微软雅黑" w:eastAsia="微软雅黑" w:cs="微软雅黑"/>
          <w:sz w:val="24"/>
          <w:szCs w:val="28"/>
        </w:rPr>
        <w:t>及预警时间。</w:t>
      </w:r>
    </w:p>
    <w:p w14:paraId="04AC89F2">
      <w:pPr>
        <w:pStyle w:val="3"/>
        <w:rPr>
          <w:rFonts w:hint="eastAsia" w:ascii="微软雅黑" w:hAnsi="微软雅黑" w:eastAsia="微软雅黑" w:cs="微软雅黑"/>
          <w:color w:val="000000" w:themeColor="text1"/>
          <w:sz w:val="24"/>
          <w:szCs w:val="28"/>
          <w14:textFill>
            <w14:solidFill>
              <w14:schemeClr w14:val="tx1"/>
            </w14:solidFill>
          </w14:textFill>
        </w:rPr>
      </w:pPr>
      <w:bookmarkStart w:id="12" w:name="_Toc29304"/>
      <w:r>
        <w:rPr>
          <w:rFonts w:hint="eastAsia" w:ascii="微软雅黑" w:hAnsi="微软雅黑" w:eastAsia="微软雅黑" w:cs="微软雅黑"/>
          <w:color w:val="000000" w:themeColor="text1"/>
          <w:sz w:val="24"/>
          <w:szCs w:val="28"/>
          <w14:textFill>
            <w14:solidFill>
              <w14:schemeClr w14:val="tx1"/>
            </w14:solidFill>
          </w14:textFill>
        </w:rPr>
        <w:t>3.</w:t>
      </w:r>
      <w:r>
        <w:rPr>
          <w:rFonts w:hint="eastAsia" w:ascii="微软雅黑" w:hAnsi="微软雅黑" w:eastAsia="微软雅黑" w:cs="微软雅黑"/>
          <w:color w:val="000000" w:themeColor="text1"/>
          <w:sz w:val="24"/>
          <w:szCs w:val="28"/>
          <w:lang w:val="en-US" w:eastAsia="zh-CN"/>
          <w14:textFill>
            <w14:solidFill>
              <w14:schemeClr w14:val="tx1"/>
            </w14:solidFill>
          </w14:textFill>
        </w:rPr>
        <w:t>10</w:t>
      </w:r>
      <w:r>
        <w:rPr>
          <w:rFonts w:hint="eastAsia" w:ascii="微软雅黑" w:hAnsi="微软雅黑" w:eastAsia="微软雅黑" w:cs="微软雅黑"/>
          <w:color w:val="000000" w:themeColor="text1"/>
          <w:sz w:val="24"/>
          <w:szCs w:val="28"/>
          <w14:textFill>
            <w14:solidFill>
              <w14:schemeClr w14:val="tx1"/>
            </w14:solidFill>
          </w14:textFill>
        </w:rPr>
        <w:t xml:space="preserve"> 安全预警弹窗</w:t>
      </w:r>
      <w:bookmarkEnd w:id="12"/>
    </w:p>
    <w:p w14:paraId="0F9DCDB9">
      <w:p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260975" cy="3523615"/>
            <wp:effectExtent l="0" t="0" r="15875" b="635"/>
            <wp:docPr id="20" name="图片 20" descr="ScreenShot_2026-03-23_172421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creenShot_2026-03-23_172421_343"/>
                    <pic:cNvPicPr>
                      <a:picLocks noChangeAspect="1"/>
                    </pic:cNvPicPr>
                  </pic:nvPicPr>
                  <pic:blipFill>
                    <a:blip r:embed="rId19"/>
                    <a:stretch>
                      <a:fillRect/>
                    </a:stretch>
                  </pic:blipFill>
                  <pic:spPr>
                    <a:xfrm>
                      <a:off x="0" y="0"/>
                      <a:ext cx="5260975" cy="3523615"/>
                    </a:xfrm>
                    <a:prstGeom prst="rect">
                      <a:avLst/>
                    </a:prstGeom>
                  </pic:spPr>
                </pic:pic>
              </a:graphicData>
            </a:graphic>
          </wp:inline>
        </w:drawing>
      </w:r>
    </w:p>
    <w:p w14:paraId="29F4A227">
      <w:pPr>
        <w:spacing w:line="360" w:lineRule="auto"/>
        <w:jc w:val="center"/>
        <w:rPr>
          <w:rFonts w:hint="eastAsia" w:ascii="微软雅黑" w:hAnsi="微软雅黑" w:eastAsia="微软雅黑" w:cs="微软雅黑"/>
          <w:sz w:val="20"/>
          <w:szCs w:val="21"/>
        </w:rPr>
      </w:pPr>
      <w:r>
        <w:rPr>
          <w:rFonts w:hint="eastAsia" w:ascii="微软雅黑" w:hAnsi="微软雅黑" w:eastAsia="微软雅黑" w:cs="微软雅黑"/>
          <w:sz w:val="20"/>
          <w:szCs w:val="21"/>
        </w:rPr>
        <w:t>图1</w:t>
      </w:r>
      <w:r>
        <w:rPr>
          <w:rFonts w:hint="eastAsia" w:ascii="微软雅黑" w:hAnsi="微软雅黑" w:eastAsia="微软雅黑" w:cs="微软雅黑"/>
          <w:sz w:val="20"/>
          <w:szCs w:val="21"/>
          <w:lang w:val="en-US" w:eastAsia="zh-CN"/>
        </w:rPr>
        <w:t>3</w:t>
      </w:r>
      <w:r>
        <w:rPr>
          <w:rFonts w:hint="eastAsia" w:ascii="微软雅黑" w:hAnsi="微软雅黑" w:eastAsia="微软雅黑" w:cs="微软雅黑"/>
          <w:sz w:val="20"/>
          <w:szCs w:val="21"/>
        </w:rPr>
        <w:t xml:space="preserve"> 智能预警</w:t>
      </w:r>
    </w:p>
    <w:p w14:paraId="6D3B5773">
      <w:pPr>
        <w:ind w:firstLine="420"/>
        <w:rPr>
          <w:rFonts w:hint="eastAsia" w:ascii="微软雅黑" w:hAnsi="微软雅黑" w:eastAsia="微软雅黑" w:cs="微软雅黑"/>
          <w:sz w:val="24"/>
          <w:szCs w:val="28"/>
        </w:rPr>
      </w:pPr>
      <w:r>
        <w:rPr>
          <w:rFonts w:hint="eastAsia" w:ascii="微软雅黑" w:hAnsi="微软雅黑" w:eastAsia="微软雅黑" w:cs="微软雅黑"/>
          <w:sz w:val="24"/>
          <w:szCs w:val="28"/>
        </w:rPr>
        <w:t>传感器数据超出阈值时自动触发全屏红色预警弹窗，展示实验室信息、楼栋楼层、所属单位、异常参数及数值、实验室负责人及联系电话、预警时间，同时联动显示对应实验室的实时监控画面。</w:t>
      </w:r>
    </w:p>
    <w:p w14:paraId="70B7D8CF">
      <w:pPr>
        <w:rPr>
          <w:rFonts w:hint="eastAsia" w:ascii="微软雅黑" w:hAnsi="微软雅黑" w:eastAsia="微软雅黑" w:cs="微软雅黑"/>
          <w:sz w:val="20"/>
          <w:szCs w:val="21"/>
          <w:lang w:eastAsia="zh-CN"/>
        </w:rPr>
      </w:pPr>
      <w:r>
        <w:rPr>
          <w:rFonts w:hint="eastAsia" w:ascii="微软雅黑" w:hAnsi="微软雅黑" w:eastAsia="微软雅黑" w:cs="微软雅黑"/>
          <w:sz w:val="20"/>
          <w:szCs w:val="21"/>
          <w:lang w:eastAsia="zh-CN"/>
        </w:rPr>
        <w:drawing>
          <wp:inline distT="0" distB="0" distL="114300" distR="114300">
            <wp:extent cx="5265420" cy="2400300"/>
            <wp:effectExtent l="0" t="0" r="11430" b="0"/>
            <wp:docPr id="21" name="图片 21" descr="ScreenShot_2026-03-23_172503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ScreenShot_2026-03-23_172503_278"/>
                    <pic:cNvPicPr>
                      <a:picLocks noChangeAspect="1"/>
                    </pic:cNvPicPr>
                  </pic:nvPicPr>
                  <pic:blipFill>
                    <a:blip r:embed="rId20"/>
                    <a:stretch>
                      <a:fillRect/>
                    </a:stretch>
                  </pic:blipFill>
                  <pic:spPr>
                    <a:xfrm>
                      <a:off x="0" y="0"/>
                      <a:ext cx="5265420" cy="2400300"/>
                    </a:xfrm>
                    <a:prstGeom prst="rect">
                      <a:avLst/>
                    </a:prstGeom>
                  </pic:spPr>
                </pic:pic>
              </a:graphicData>
            </a:graphic>
          </wp:inline>
        </w:drawing>
      </w:r>
    </w:p>
    <w:p w14:paraId="7DF5BA4D">
      <w:pPr>
        <w:spacing w:line="360" w:lineRule="auto"/>
        <w:jc w:val="center"/>
        <w:rPr>
          <w:rFonts w:hint="eastAsia" w:ascii="微软雅黑" w:hAnsi="微软雅黑" w:eastAsia="微软雅黑" w:cs="微软雅黑"/>
          <w:sz w:val="20"/>
          <w:szCs w:val="21"/>
          <w:lang w:val="en-US" w:eastAsia="zh-CN"/>
        </w:rPr>
      </w:pPr>
      <w:r>
        <w:rPr>
          <w:rFonts w:hint="eastAsia" w:ascii="微软雅黑" w:hAnsi="微软雅黑" w:eastAsia="微软雅黑" w:cs="微软雅黑"/>
          <w:sz w:val="20"/>
          <w:szCs w:val="21"/>
        </w:rPr>
        <w:t>图1</w:t>
      </w:r>
      <w:r>
        <w:rPr>
          <w:rFonts w:hint="eastAsia" w:ascii="微软雅黑" w:hAnsi="微软雅黑" w:eastAsia="微软雅黑" w:cs="微软雅黑"/>
          <w:sz w:val="20"/>
          <w:szCs w:val="21"/>
          <w:lang w:val="en-US" w:eastAsia="zh-CN"/>
        </w:rPr>
        <w:t>4</w:t>
      </w:r>
      <w:r>
        <w:rPr>
          <w:rFonts w:hint="eastAsia" w:ascii="微软雅黑" w:hAnsi="微软雅黑" w:eastAsia="微软雅黑" w:cs="微软雅黑"/>
          <w:sz w:val="20"/>
          <w:szCs w:val="21"/>
        </w:rPr>
        <w:t xml:space="preserve"> </w:t>
      </w:r>
      <w:r>
        <w:rPr>
          <w:rFonts w:hint="eastAsia" w:ascii="微软雅黑" w:hAnsi="微软雅黑" w:eastAsia="微软雅黑" w:cs="微软雅黑"/>
          <w:sz w:val="20"/>
          <w:szCs w:val="21"/>
          <w:lang w:val="en-US" w:eastAsia="zh-CN"/>
        </w:rPr>
        <w:t>应急疏散</w:t>
      </w:r>
    </w:p>
    <w:p w14:paraId="26796C79">
      <w:pPr>
        <w:ind w:firstLine="420"/>
        <w:rPr>
          <w:rFonts w:hint="eastAsia" w:ascii="微软雅黑" w:hAnsi="微软雅黑" w:eastAsia="微软雅黑" w:cs="微软雅黑"/>
          <w:sz w:val="24"/>
          <w:szCs w:val="28"/>
          <w:lang w:eastAsia="zh-CN"/>
        </w:rPr>
      </w:pPr>
      <w:r>
        <w:rPr>
          <w:rFonts w:hint="eastAsia" w:ascii="微软雅黑" w:hAnsi="微软雅黑" w:eastAsia="微软雅黑" w:cs="微软雅黑"/>
          <w:sz w:val="24"/>
          <w:szCs w:val="28"/>
          <w:lang w:val="en-US" w:eastAsia="zh-CN"/>
        </w:rPr>
        <w:t>管理人员点击</w:t>
      </w:r>
      <w:r>
        <w:rPr>
          <w:rFonts w:hint="eastAsia" w:ascii="微软雅黑" w:hAnsi="微软雅黑" w:eastAsia="微软雅黑" w:cs="微软雅黑"/>
          <w:sz w:val="24"/>
          <w:szCs w:val="28"/>
        </w:rPr>
        <w:t>“应急疏散”按钮</w:t>
      </w:r>
      <w:r>
        <w:rPr>
          <w:rFonts w:hint="eastAsia" w:ascii="微软雅黑" w:hAnsi="微软雅黑" w:eastAsia="微软雅黑" w:cs="微软雅黑"/>
          <w:sz w:val="24"/>
          <w:szCs w:val="28"/>
          <w:lang w:eastAsia="zh-CN"/>
        </w:rPr>
        <w:t>，</w:t>
      </w:r>
      <w:r>
        <w:rPr>
          <w:rFonts w:hint="eastAsia" w:ascii="微软雅黑" w:hAnsi="微软雅黑" w:eastAsia="微软雅黑" w:cs="微软雅黑"/>
          <w:sz w:val="24"/>
          <w:szCs w:val="28"/>
        </w:rPr>
        <w:t>查看</w:t>
      </w:r>
      <w:r>
        <w:rPr>
          <w:rFonts w:hint="eastAsia" w:ascii="微软雅黑" w:hAnsi="微软雅黑" w:eastAsia="微软雅黑" w:cs="微软雅黑"/>
          <w:sz w:val="24"/>
          <w:szCs w:val="28"/>
          <w:lang w:val="en-US" w:eastAsia="zh-CN"/>
        </w:rPr>
        <w:t>报警信息、应急疏散路线图、实验室房间及楼层的</w:t>
      </w:r>
      <w:r>
        <w:rPr>
          <w:rFonts w:hint="eastAsia" w:ascii="微软雅黑" w:hAnsi="微软雅黑" w:eastAsia="微软雅黑" w:cs="微软雅黑"/>
          <w:sz w:val="24"/>
          <w:szCs w:val="28"/>
        </w:rPr>
        <w:t>监控</w:t>
      </w:r>
      <w:r>
        <w:rPr>
          <w:rFonts w:hint="eastAsia" w:ascii="微软雅黑" w:hAnsi="微软雅黑" w:eastAsia="微软雅黑" w:cs="微软雅黑"/>
          <w:sz w:val="24"/>
          <w:szCs w:val="28"/>
          <w:lang w:val="en-US" w:eastAsia="zh-CN"/>
        </w:rPr>
        <w:t>画面</w:t>
      </w:r>
      <w:r>
        <w:rPr>
          <w:rFonts w:hint="eastAsia" w:ascii="微软雅黑" w:hAnsi="微软雅黑" w:eastAsia="微软雅黑" w:cs="微软雅黑"/>
          <w:sz w:val="24"/>
          <w:szCs w:val="28"/>
        </w:rPr>
        <w:t>，</w:t>
      </w:r>
      <w:r>
        <w:rPr>
          <w:rFonts w:hint="eastAsia" w:ascii="微软雅黑" w:hAnsi="微软雅黑" w:eastAsia="微软雅黑" w:cs="微软雅黑"/>
          <w:sz w:val="24"/>
          <w:szCs w:val="28"/>
          <w:lang w:val="en-US" w:eastAsia="zh-CN"/>
        </w:rPr>
        <w:t>根据现场情况决策点击</w:t>
      </w:r>
      <w:r>
        <w:rPr>
          <w:rFonts w:hint="eastAsia" w:ascii="微软雅黑" w:hAnsi="微软雅黑" w:eastAsia="微软雅黑" w:cs="微软雅黑"/>
          <w:sz w:val="24"/>
          <w:szCs w:val="28"/>
        </w:rPr>
        <w:t>“</w:t>
      </w:r>
      <w:r>
        <w:rPr>
          <w:rFonts w:hint="eastAsia" w:ascii="微软雅黑" w:hAnsi="微软雅黑" w:eastAsia="微软雅黑" w:cs="微软雅黑"/>
          <w:sz w:val="24"/>
          <w:szCs w:val="28"/>
          <w:lang w:val="en-US" w:eastAsia="zh-CN"/>
        </w:rPr>
        <w:t>执行</w:t>
      </w:r>
      <w:r>
        <w:rPr>
          <w:rFonts w:hint="eastAsia" w:ascii="微软雅黑" w:hAnsi="微软雅黑" w:eastAsia="微软雅黑" w:cs="微软雅黑"/>
          <w:sz w:val="24"/>
          <w:szCs w:val="28"/>
        </w:rPr>
        <w:t>疏散”，系统会根据风险点自动计算最佳疏散路径，应急灯亮起指引</w:t>
      </w:r>
      <w:r>
        <w:rPr>
          <w:rFonts w:hint="eastAsia" w:ascii="微软雅黑" w:hAnsi="微软雅黑" w:eastAsia="微软雅黑" w:cs="微软雅黑"/>
          <w:sz w:val="24"/>
          <w:szCs w:val="28"/>
          <w:lang w:val="en-US" w:eastAsia="zh-CN"/>
        </w:rPr>
        <w:t>疏散</w:t>
      </w:r>
      <w:r>
        <w:rPr>
          <w:rFonts w:hint="eastAsia" w:ascii="微软雅黑" w:hAnsi="微软雅黑" w:eastAsia="微软雅黑" w:cs="微软雅黑"/>
          <w:sz w:val="24"/>
          <w:szCs w:val="28"/>
        </w:rPr>
        <w:t>路线</w:t>
      </w:r>
      <w:r>
        <w:rPr>
          <w:rFonts w:hint="eastAsia" w:ascii="微软雅黑" w:hAnsi="微软雅黑" w:eastAsia="微软雅黑" w:cs="微软雅黑"/>
          <w:sz w:val="24"/>
          <w:szCs w:val="28"/>
          <w:lang w:eastAsia="zh-CN"/>
        </w:rPr>
        <w:t>，</w:t>
      </w:r>
      <w:r>
        <w:rPr>
          <w:rFonts w:hint="eastAsia" w:ascii="微软雅黑" w:hAnsi="微软雅黑" w:eastAsia="微软雅黑" w:cs="微软雅黑"/>
          <w:sz w:val="24"/>
          <w:szCs w:val="28"/>
        </w:rPr>
        <w:t>也可喊话指挥现场人员</w:t>
      </w:r>
      <w:r>
        <w:rPr>
          <w:rFonts w:hint="eastAsia" w:ascii="微软雅黑" w:hAnsi="微软雅黑" w:eastAsia="微软雅黑" w:cs="微软雅黑"/>
          <w:sz w:val="24"/>
          <w:szCs w:val="28"/>
          <w:lang w:val="en-US" w:eastAsia="zh-CN"/>
        </w:rPr>
        <w:t>规避风险</w:t>
      </w:r>
      <w:r>
        <w:rPr>
          <w:rFonts w:hint="eastAsia" w:ascii="微软雅黑" w:hAnsi="微软雅黑" w:eastAsia="微软雅黑" w:cs="微软雅黑"/>
          <w:sz w:val="24"/>
          <w:szCs w:val="28"/>
          <w:lang w:eastAsia="zh-CN"/>
        </w:rPr>
        <w:t>。</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Helvetica Neue">
    <w:panose1 w:val="00000000000000000000"/>
    <w:charset w:val="00"/>
    <w:family w:val="auto"/>
    <w:pitch w:val="default"/>
    <w:sig w:usb0="8000002F" w:usb1="40000048" w:usb2="00000000" w:usb3="00000000" w:csb0="20000111" w:csb1="41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6BC5"/>
    <w:rsid w:val="000A1591"/>
    <w:rsid w:val="000A3A97"/>
    <w:rsid w:val="001433AB"/>
    <w:rsid w:val="0015223E"/>
    <w:rsid w:val="001760AD"/>
    <w:rsid w:val="001C3A5A"/>
    <w:rsid w:val="001C6B7F"/>
    <w:rsid w:val="0021567F"/>
    <w:rsid w:val="00222AB1"/>
    <w:rsid w:val="00241C27"/>
    <w:rsid w:val="002652F9"/>
    <w:rsid w:val="0027121D"/>
    <w:rsid w:val="003837B4"/>
    <w:rsid w:val="003B284A"/>
    <w:rsid w:val="00431346"/>
    <w:rsid w:val="00440144"/>
    <w:rsid w:val="00444A8A"/>
    <w:rsid w:val="00502263"/>
    <w:rsid w:val="00552FA8"/>
    <w:rsid w:val="005A03D4"/>
    <w:rsid w:val="005D6F28"/>
    <w:rsid w:val="00646248"/>
    <w:rsid w:val="00646BC5"/>
    <w:rsid w:val="00690806"/>
    <w:rsid w:val="00750DE0"/>
    <w:rsid w:val="007F7056"/>
    <w:rsid w:val="00831D99"/>
    <w:rsid w:val="008340E4"/>
    <w:rsid w:val="00865FDB"/>
    <w:rsid w:val="008A5538"/>
    <w:rsid w:val="009E4320"/>
    <w:rsid w:val="00A01BF1"/>
    <w:rsid w:val="00A30DA3"/>
    <w:rsid w:val="00A630B4"/>
    <w:rsid w:val="00B07BF4"/>
    <w:rsid w:val="00B5083F"/>
    <w:rsid w:val="00B520BD"/>
    <w:rsid w:val="00BD2EDC"/>
    <w:rsid w:val="00C75280"/>
    <w:rsid w:val="00CA352B"/>
    <w:rsid w:val="00D064F1"/>
    <w:rsid w:val="00DB642A"/>
    <w:rsid w:val="00DE1EF1"/>
    <w:rsid w:val="00DF071B"/>
    <w:rsid w:val="00E06176"/>
    <w:rsid w:val="00E1094F"/>
    <w:rsid w:val="00E20C44"/>
    <w:rsid w:val="00E50ED1"/>
    <w:rsid w:val="00EB4D7F"/>
    <w:rsid w:val="00F6006C"/>
    <w:rsid w:val="00F604CC"/>
    <w:rsid w:val="00F6159B"/>
    <w:rsid w:val="00FA7F12"/>
    <w:rsid w:val="00FE0582"/>
    <w:rsid w:val="00FE1BFD"/>
    <w:rsid w:val="0EDE5518"/>
    <w:rsid w:val="14F447EE"/>
    <w:rsid w:val="15843035"/>
    <w:rsid w:val="48026AB1"/>
    <w:rsid w:val="487E7E03"/>
    <w:rsid w:val="4DF3347D"/>
    <w:rsid w:val="569A3030"/>
    <w:rsid w:val="6057032F"/>
    <w:rsid w:val="685A43CD"/>
    <w:rsid w:val="7C3A7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name="toc 3"/>
    <w:lsdException w:qFormat="1" w:uiPriority="39" w:name="toc 4"/>
    <w:lsdException w:qFormat="1" w:uiPriority="39" w:name="toc 5"/>
    <w:lsdException w:qFormat="1" w:uiPriority="39" w:name="toc 6"/>
    <w:lsdException w:qFormat="1" w:uiPriority="39" w:name="toc 7"/>
    <w:lsdException w:qFormat="1" w:uiPriority="39" w:name="toc 8"/>
    <w:lsdException w:qFormat="1"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29"/>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30"/>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8"/>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3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32"/>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33"/>
    <w:semiHidden/>
    <w:unhideWhenUsed/>
    <w:qFormat/>
    <w:uiPriority w:val="9"/>
    <w:pPr>
      <w:keepNext/>
      <w:keepLines/>
      <w:spacing w:before="40" w:after="0"/>
      <w:outlineLvl w:val="5"/>
    </w:pPr>
    <w:rPr>
      <w:rFonts w:cstheme="majorBidi"/>
      <w:b/>
      <w:bCs/>
      <w:color w:val="104862" w:themeColor="accent1" w:themeShade="BF"/>
    </w:rPr>
  </w:style>
  <w:style w:type="paragraph" w:styleId="8">
    <w:name w:val="heading 7"/>
    <w:basedOn w:val="1"/>
    <w:next w:val="1"/>
    <w:link w:val="34"/>
    <w:semiHidden/>
    <w:unhideWhenUsed/>
    <w:qFormat/>
    <w:uiPriority w:val="9"/>
    <w:pPr>
      <w:keepNext/>
      <w:keepLines/>
      <w:spacing w:before="40" w:after="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5"/>
    <w:semiHidden/>
    <w:unhideWhenUsed/>
    <w:qFormat/>
    <w:uiPriority w:val="9"/>
    <w:pPr>
      <w:keepNext/>
      <w:keepLines/>
      <w:spacing w:after="0"/>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6"/>
    <w:semiHidden/>
    <w:unhideWhenUsed/>
    <w:qFormat/>
    <w:uiPriority w:val="9"/>
    <w:pPr>
      <w:keepNext/>
      <w:keepLines/>
      <w:spacing w:after="0"/>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semiHidden/>
    <w:unhideWhenUsed/>
    <w:qFormat/>
    <w:uiPriority w:val="39"/>
    <w:pPr>
      <w:spacing w:after="0"/>
    </w:pPr>
    <w:rPr>
      <w:rFonts w:eastAsiaTheme="minorHAnsi"/>
      <w:szCs w:val="22"/>
    </w:rPr>
  </w:style>
  <w:style w:type="paragraph" w:styleId="12">
    <w:name w:val="toc 5"/>
    <w:basedOn w:val="1"/>
    <w:next w:val="1"/>
    <w:autoRedefine/>
    <w:semiHidden/>
    <w:unhideWhenUsed/>
    <w:qFormat/>
    <w:uiPriority w:val="39"/>
    <w:pPr>
      <w:spacing w:after="0"/>
    </w:pPr>
    <w:rPr>
      <w:rFonts w:eastAsiaTheme="minorHAnsi"/>
      <w:szCs w:val="22"/>
    </w:rPr>
  </w:style>
  <w:style w:type="paragraph" w:styleId="13">
    <w:name w:val="toc 3"/>
    <w:basedOn w:val="1"/>
    <w:next w:val="1"/>
    <w:autoRedefine/>
    <w:semiHidden/>
    <w:unhideWhenUsed/>
    <w:qFormat/>
    <w:uiPriority w:val="39"/>
    <w:pPr>
      <w:spacing w:after="0"/>
    </w:pPr>
    <w:rPr>
      <w:rFonts w:eastAsiaTheme="minorHAnsi"/>
      <w:smallCaps/>
      <w:szCs w:val="22"/>
    </w:rPr>
  </w:style>
  <w:style w:type="paragraph" w:styleId="14">
    <w:name w:val="toc 8"/>
    <w:basedOn w:val="1"/>
    <w:next w:val="1"/>
    <w:autoRedefine/>
    <w:semiHidden/>
    <w:unhideWhenUsed/>
    <w:qFormat/>
    <w:uiPriority w:val="39"/>
    <w:pPr>
      <w:spacing w:after="0"/>
    </w:pPr>
    <w:rPr>
      <w:rFonts w:eastAsiaTheme="minorHAnsi"/>
      <w:szCs w:val="22"/>
    </w:rPr>
  </w:style>
  <w:style w:type="paragraph" w:styleId="15">
    <w:name w:val="Date"/>
    <w:basedOn w:val="1"/>
    <w:next w:val="1"/>
    <w:link w:val="46"/>
    <w:semiHidden/>
    <w:unhideWhenUsed/>
    <w:qFormat/>
    <w:uiPriority w:val="99"/>
    <w:pPr>
      <w:ind w:left="100" w:leftChars="2500"/>
    </w:pPr>
  </w:style>
  <w:style w:type="paragraph" w:styleId="16">
    <w:name w:val="toc 1"/>
    <w:basedOn w:val="1"/>
    <w:next w:val="1"/>
    <w:autoRedefine/>
    <w:unhideWhenUsed/>
    <w:qFormat/>
    <w:uiPriority w:val="39"/>
    <w:pPr>
      <w:spacing w:before="360" w:after="360"/>
    </w:pPr>
    <w:rPr>
      <w:rFonts w:eastAsiaTheme="minorHAnsi"/>
      <w:b/>
      <w:bCs/>
      <w:caps/>
      <w:szCs w:val="22"/>
      <w:u w:val="single"/>
    </w:rPr>
  </w:style>
  <w:style w:type="paragraph" w:styleId="17">
    <w:name w:val="toc 4"/>
    <w:basedOn w:val="1"/>
    <w:next w:val="1"/>
    <w:autoRedefine/>
    <w:semiHidden/>
    <w:unhideWhenUsed/>
    <w:qFormat/>
    <w:uiPriority w:val="39"/>
    <w:pPr>
      <w:spacing w:after="0"/>
    </w:pPr>
    <w:rPr>
      <w:rFonts w:eastAsiaTheme="minorHAnsi"/>
      <w:szCs w:val="22"/>
    </w:rPr>
  </w:style>
  <w:style w:type="paragraph" w:styleId="18">
    <w:name w:val="Subtitle"/>
    <w:basedOn w:val="1"/>
    <w:next w:val="1"/>
    <w:link w:val="38"/>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9">
    <w:name w:val="toc 6"/>
    <w:basedOn w:val="1"/>
    <w:next w:val="1"/>
    <w:autoRedefine/>
    <w:semiHidden/>
    <w:unhideWhenUsed/>
    <w:qFormat/>
    <w:uiPriority w:val="39"/>
    <w:pPr>
      <w:spacing w:after="0"/>
    </w:pPr>
    <w:rPr>
      <w:rFonts w:eastAsiaTheme="minorHAnsi"/>
      <w:szCs w:val="22"/>
    </w:rPr>
  </w:style>
  <w:style w:type="paragraph" w:styleId="20">
    <w:name w:val="toc 2"/>
    <w:basedOn w:val="1"/>
    <w:next w:val="1"/>
    <w:autoRedefine/>
    <w:unhideWhenUsed/>
    <w:qFormat/>
    <w:uiPriority w:val="39"/>
    <w:pPr>
      <w:spacing w:after="0"/>
    </w:pPr>
    <w:rPr>
      <w:rFonts w:eastAsiaTheme="minorHAnsi"/>
      <w:b/>
      <w:bCs/>
      <w:smallCaps/>
      <w:szCs w:val="22"/>
    </w:rPr>
  </w:style>
  <w:style w:type="paragraph" w:styleId="21">
    <w:name w:val="toc 9"/>
    <w:basedOn w:val="1"/>
    <w:next w:val="1"/>
    <w:autoRedefine/>
    <w:semiHidden/>
    <w:unhideWhenUsed/>
    <w:qFormat/>
    <w:uiPriority w:val="39"/>
    <w:pPr>
      <w:spacing w:after="0"/>
    </w:pPr>
    <w:rPr>
      <w:rFonts w:eastAsiaTheme="minorHAnsi"/>
      <w:szCs w:val="22"/>
    </w:rPr>
  </w:style>
  <w:style w:type="paragraph" w:styleId="22">
    <w:name w:val="Title"/>
    <w:basedOn w:val="1"/>
    <w:next w:val="1"/>
    <w:link w:val="37"/>
    <w:qFormat/>
    <w:uiPriority w:val="10"/>
    <w:pPr>
      <w:spacing w:after="80" w:line="240" w:lineRule="auto"/>
      <w:contextualSpacing/>
      <w:jc w:val="center"/>
    </w:pPr>
    <w:rPr>
      <w:rFonts w:asciiTheme="majorHAnsi" w:hAnsiTheme="majorHAnsi" w:eastAsiaTheme="majorEastAsia" w:cstheme="majorBidi"/>
      <w:spacing w:val="-10"/>
      <w:kern w:val="28"/>
      <w:sz w:val="56"/>
      <w:szCs w:val="56"/>
    </w:rPr>
  </w:style>
  <w:style w:type="table" w:styleId="24">
    <w:name w:val="Table Grid"/>
    <w:basedOn w:val="23"/>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rPr>
  </w:style>
  <w:style w:type="character" w:styleId="27">
    <w:name w:val="Hyperlink"/>
    <w:basedOn w:val="25"/>
    <w:unhideWhenUsed/>
    <w:qFormat/>
    <w:uiPriority w:val="99"/>
    <w:rPr>
      <w:color w:val="467886" w:themeColor="hyperlink"/>
      <w:u w:val="single"/>
      <w14:textFill>
        <w14:solidFill>
          <w14:schemeClr w14:val="hlink"/>
        </w14:solidFill>
      </w14:textFill>
    </w:rPr>
  </w:style>
  <w:style w:type="character" w:customStyle="1" w:styleId="28">
    <w:name w:val="标题 3 字符"/>
    <w:basedOn w:val="25"/>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9">
    <w:name w:val="标题 1 字符"/>
    <w:basedOn w:val="25"/>
    <w:link w:val="2"/>
    <w:qFormat/>
    <w:uiPriority w:val="9"/>
    <w:rPr>
      <w:rFonts w:asciiTheme="majorHAnsi" w:hAnsiTheme="majorHAnsi" w:eastAsiaTheme="majorEastAsia" w:cstheme="majorBidi"/>
      <w:color w:val="104862" w:themeColor="accent1" w:themeShade="BF"/>
      <w:sz w:val="48"/>
      <w:szCs w:val="48"/>
    </w:rPr>
  </w:style>
  <w:style w:type="character" w:customStyle="1" w:styleId="30">
    <w:name w:val="标题 2 字符"/>
    <w:basedOn w:val="25"/>
    <w:link w:val="3"/>
    <w:qFormat/>
    <w:uiPriority w:val="9"/>
    <w:rPr>
      <w:rFonts w:asciiTheme="majorHAnsi" w:hAnsiTheme="majorHAnsi" w:eastAsiaTheme="majorEastAsia" w:cstheme="majorBidi"/>
      <w:color w:val="104862" w:themeColor="accent1" w:themeShade="BF"/>
      <w:sz w:val="40"/>
      <w:szCs w:val="40"/>
    </w:rPr>
  </w:style>
  <w:style w:type="character" w:customStyle="1" w:styleId="31">
    <w:name w:val="标题 4 字符"/>
    <w:basedOn w:val="25"/>
    <w:link w:val="5"/>
    <w:semiHidden/>
    <w:qFormat/>
    <w:uiPriority w:val="9"/>
    <w:rPr>
      <w:rFonts w:cstheme="majorBidi"/>
      <w:color w:val="104862" w:themeColor="accent1" w:themeShade="BF"/>
      <w:sz w:val="28"/>
      <w:szCs w:val="28"/>
    </w:rPr>
  </w:style>
  <w:style w:type="character" w:customStyle="1" w:styleId="32">
    <w:name w:val="标题 5 字符"/>
    <w:basedOn w:val="25"/>
    <w:link w:val="6"/>
    <w:semiHidden/>
    <w:qFormat/>
    <w:uiPriority w:val="9"/>
    <w:rPr>
      <w:rFonts w:cstheme="majorBidi"/>
      <w:color w:val="104862" w:themeColor="accent1" w:themeShade="BF"/>
      <w:sz w:val="24"/>
    </w:rPr>
  </w:style>
  <w:style w:type="character" w:customStyle="1" w:styleId="33">
    <w:name w:val="标题 6 字符"/>
    <w:basedOn w:val="25"/>
    <w:link w:val="7"/>
    <w:semiHidden/>
    <w:qFormat/>
    <w:uiPriority w:val="9"/>
    <w:rPr>
      <w:rFonts w:cstheme="majorBidi"/>
      <w:b/>
      <w:bCs/>
      <w:color w:val="104862" w:themeColor="accent1" w:themeShade="BF"/>
    </w:rPr>
  </w:style>
  <w:style w:type="character" w:customStyle="1" w:styleId="34">
    <w:name w:val="标题 7 字符"/>
    <w:basedOn w:val="25"/>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5">
    <w:name w:val="标题 8 字符"/>
    <w:basedOn w:val="25"/>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6">
    <w:name w:val="标题 9 字符"/>
    <w:basedOn w:val="25"/>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7">
    <w:name w:val="标题 字符"/>
    <w:basedOn w:val="25"/>
    <w:link w:val="22"/>
    <w:qFormat/>
    <w:uiPriority w:val="10"/>
    <w:rPr>
      <w:rFonts w:asciiTheme="majorHAnsi" w:hAnsiTheme="majorHAnsi" w:eastAsiaTheme="majorEastAsia" w:cstheme="majorBidi"/>
      <w:spacing w:val="-10"/>
      <w:kern w:val="28"/>
      <w:sz w:val="56"/>
      <w:szCs w:val="56"/>
    </w:rPr>
  </w:style>
  <w:style w:type="character" w:customStyle="1" w:styleId="38">
    <w:name w:val="副标题 字符"/>
    <w:basedOn w:val="25"/>
    <w:link w:val="18"/>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9">
    <w:name w:val="Quote"/>
    <w:basedOn w:val="1"/>
    <w:next w:val="1"/>
    <w:link w:val="40"/>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40">
    <w:name w:val="引用 字符"/>
    <w:basedOn w:val="25"/>
    <w:link w:val="39"/>
    <w:qFormat/>
    <w:uiPriority w:val="29"/>
    <w:rPr>
      <w:i/>
      <w:iCs/>
      <w:color w:val="404040" w:themeColor="text1" w:themeTint="BF"/>
      <w14:textFill>
        <w14:solidFill>
          <w14:schemeClr w14:val="tx1">
            <w14:lumMod w14:val="75000"/>
            <w14:lumOff w14:val="25000"/>
          </w14:schemeClr>
        </w14:solidFill>
      </w14:textFill>
    </w:rPr>
  </w:style>
  <w:style w:type="paragraph" w:styleId="41">
    <w:name w:val="List Paragraph"/>
    <w:basedOn w:val="1"/>
    <w:qFormat/>
    <w:uiPriority w:val="34"/>
    <w:pPr>
      <w:ind w:left="720"/>
      <w:contextualSpacing/>
    </w:pPr>
  </w:style>
  <w:style w:type="character" w:customStyle="1" w:styleId="42">
    <w:name w:val="Intense Emphasis"/>
    <w:basedOn w:val="25"/>
    <w:qFormat/>
    <w:uiPriority w:val="21"/>
    <w:rPr>
      <w:i/>
      <w:iCs/>
      <w:color w:val="104862" w:themeColor="accent1" w:themeShade="BF"/>
    </w:rPr>
  </w:style>
  <w:style w:type="paragraph" w:styleId="43">
    <w:name w:val="Intense Quote"/>
    <w:basedOn w:val="1"/>
    <w:next w:val="1"/>
    <w:link w:val="44"/>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4">
    <w:name w:val="明显引用 字符"/>
    <w:basedOn w:val="25"/>
    <w:link w:val="43"/>
    <w:qFormat/>
    <w:uiPriority w:val="30"/>
    <w:rPr>
      <w:i/>
      <w:iCs/>
      <w:color w:val="104862" w:themeColor="accent1" w:themeShade="BF"/>
    </w:rPr>
  </w:style>
  <w:style w:type="character" w:customStyle="1" w:styleId="45">
    <w:name w:val="Intense Reference"/>
    <w:basedOn w:val="25"/>
    <w:qFormat/>
    <w:uiPriority w:val="32"/>
    <w:rPr>
      <w:b/>
      <w:bCs/>
      <w:smallCaps/>
      <w:color w:val="104862" w:themeColor="accent1" w:themeShade="BF"/>
      <w:spacing w:val="5"/>
    </w:rPr>
  </w:style>
  <w:style w:type="character" w:customStyle="1" w:styleId="46">
    <w:name w:val="日期 字符"/>
    <w:basedOn w:val="25"/>
    <w:link w:val="15"/>
    <w:semiHidden/>
    <w:qFormat/>
    <w:uiPriority w:val="99"/>
  </w:style>
  <w:style w:type="paragraph" w:customStyle="1" w:styleId="47">
    <w:name w:val="TOC Heading"/>
    <w:basedOn w:val="2"/>
    <w:next w:val="1"/>
    <w:unhideWhenUsed/>
    <w:qFormat/>
    <w:uiPriority w:val="39"/>
    <w:pPr>
      <w:widowControl/>
      <w:spacing w:after="0" w:line="276" w:lineRule="auto"/>
      <w:outlineLvl w:val="9"/>
    </w:pPr>
    <w:rPr>
      <w:b/>
      <w:bCs/>
      <w:kern w:val="0"/>
      <w:sz w:val="28"/>
      <w:szCs w:val="28"/>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51B958-6869-8048-B931-2E55F4DA750B}">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1269</Words>
  <Characters>1325</Characters>
  <Lines>17</Lines>
  <Paragraphs>4</Paragraphs>
  <TotalTime>1</TotalTime>
  <ScaleCrop>false</ScaleCrop>
  <LinksUpToDate>false</LinksUpToDate>
  <CharactersWithSpaces>1428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2026-03-06T09:27:00Z</dcterms:created>
  <dc:creator>Microsoft Office User</dc:creator>
  <cp:lastModifiedBy>G_</cp:lastModifiedBy>
  <cp:lastPrinted>2026-03-06T09:27:00Z</cp:lastPrinted>
  <dcterms:modified xsi:type="dcterms:W3CDTF">2026-03-24T03:53:22Z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eyJoZGlkIjoiMmI3ZTIwMmQ3ZGNjZGY5YTk1MjYxMTk4MTQ1OWIwNWEiLCJ1c2VySWQiOiIyMzQ5NjgxMDUifQ==</vt:lpwstr>
  </property>
  <property fmtid="{D5CDD505-2E9C-101B-9397-08002B2CF9AE}" pid="3" name="KSOProductBuildVer">
    <vt:lpwstr>2052-12.1.0.25225</vt:lpwstr>
  </property>
  <property fmtid="{D5CDD505-2E9C-101B-9397-08002B2CF9AE}" pid="4" name="ICV">
    <vt:lpwstr>0EE47D5BF599471287F36D356A430BE4_13</vt:lpwstr>
  </property>
</Properties>
</file>